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jc w:val="center"/>
        <w:rPr>
          <w:rFonts w:ascii="楷体" w:hAnsi="楷体" w:eastAsia="楷体"/>
          <w:b/>
          <w:sz w:val="36"/>
          <w:szCs w:val="36"/>
        </w:rPr>
      </w:pPr>
    </w:p>
    <w:p>
      <w:pPr>
        <w:pStyle w:val="53"/>
        <w:jc w:val="center"/>
        <w:rPr>
          <w:rFonts w:ascii="楷体" w:hAnsi="楷体" w:eastAsia="楷体"/>
          <w:b/>
          <w:sz w:val="36"/>
          <w:szCs w:val="36"/>
        </w:rPr>
      </w:pPr>
    </w:p>
    <w:p>
      <w:pPr>
        <w:pStyle w:val="53"/>
        <w:jc w:val="center"/>
        <w:rPr>
          <w:rFonts w:ascii="楷体" w:hAnsi="楷体" w:eastAsia="楷体"/>
          <w:b/>
          <w:sz w:val="36"/>
          <w:szCs w:val="36"/>
        </w:rPr>
      </w:pPr>
    </w:p>
    <w:p>
      <w:pPr>
        <w:pStyle w:val="53"/>
        <w:jc w:val="center"/>
        <w:rPr>
          <w:rFonts w:ascii="楷体" w:hAnsi="楷体" w:eastAsia="楷体"/>
          <w:b/>
          <w:sz w:val="36"/>
          <w:szCs w:val="36"/>
        </w:rPr>
      </w:pPr>
    </w:p>
    <w:p>
      <w:pPr>
        <w:pStyle w:val="53"/>
        <w:jc w:val="center"/>
        <w:rPr>
          <w:rFonts w:ascii="楷体" w:hAnsi="楷体" w:eastAsia="楷体"/>
          <w:b/>
          <w:sz w:val="36"/>
          <w:szCs w:val="36"/>
        </w:rPr>
      </w:pPr>
    </w:p>
    <w:p>
      <w:pPr>
        <w:pStyle w:val="53"/>
        <w:jc w:val="center"/>
        <w:rPr>
          <w:rFonts w:ascii="楷体" w:hAnsi="楷体" w:eastAsia="楷体"/>
          <w:b/>
          <w:sz w:val="36"/>
          <w:szCs w:val="36"/>
        </w:rPr>
      </w:pPr>
    </w:p>
    <w:p>
      <w:pPr>
        <w:pStyle w:val="14"/>
        <w:rPr>
          <w:rFonts w:ascii="楷体" w:hAnsi="楷体" w:eastAsia="楷体"/>
          <w:color w:val="000000"/>
          <w:sz w:val="24"/>
          <w:szCs w:val="24"/>
        </w:rPr>
      </w:pPr>
      <w:r>
        <w:rPr>
          <w:rFonts w:ascii="楷体" w:hAnsi="楷体" w:eastAsia="楷体"/>
          <w:sz w:val="44"/>
          <w:szCs w:val="44"/>
        </w:rPr>
        <w:t>债权资产转让合同</w:t>
      </w: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ascii="楷体" w:hAnsi="楷体" w:eastAsia="楷体"/>
          <w:sz w:val="28"/>
          <w:szCs w:val="28"/>
        </w:rPr>
      </w:pPr>
    </w:p>
    <w:p>
      <w:pPr>
        <w:spacing w:after="156" w:afterLines="50" w:line="360" w:lineRule="exact"/>
        <w:ind w:firstLine="1680" w:firstLineChars="600"/>
        <w:rPr>
          <w:rFonts w:hint="eastAsia" w:ascii="楷体" w:hAnsi="楷体" w:eastAsia="楷体"/>
          <w:sz w:val="28"/>
          <w:szCs w:val="28"/>
          <w:shd w:val="pct10" w:color="auto" w:fill="FFFFFF"/>
          <w:lang w:eastAsia="zh-CN"/>
        </w:rPr>
      </w:pPr>
      <w:r>
        <w:rPr>
          <w:rFonts w:ascii="楷体" w:hAnsi="楷体" w:eastAsia="楷体"/>
          <w:sz w:val="28"/>
          <w:szCs w:val="28"/>
        </w:rPr>
        <w:t>转 让 方：</w:t>
      </w:r>
      <w:r>
        <w:rPr>
          <w:rFonts w:ascii="楷体" w:hAnsi="楷体" w:eastAsia="楷体"/>
          <w:sz w:val="28"/>
          <w:szCs w:val="28"/>
          <w:shd w:val="pct10" w:color="auto" w:fill="FFFFFF"/>
        </w:rPr>
        <w:t>深圳市</w:t>
      </w:r>
      <w:r>
        <w:rPr>
          <w:rFonts w:hint="eastAsia" w:ascii="楷体" w:hAnsi="楷体" w:eastAsia="楷体"/>
          <w:sz w:val="28"/>
          <w:szCs w:val="28"/>
          <w:shd w:val="pct10" w:color="auto" w:fill="FFFFFF"/>
        </w:rPr>
        <w:t>招平申城</w:t>
      </w:r>
      <w:r>
        <w:rPr>
          <w:rFonts w:hint="eastAsia" w:ascii="楷体" w:hAnsi="楷体" w:eastAsia="楷体"/>
          <w:sz w:val="28"/>
          <w:szCs w:val="28"/>
          <w:shd w:val="pct10" w:color="auto" w:fill="FFFFFF"/>
          <w:lang w:val="en-US" w:eastAsia="zh-CN"/>
        </w:rPr>
        <w:t>五</w:t>
      </w:r>
      <w:r>
        <w:rPr>
          <w:rFonts w:hint="eastAsia" w:ascii="楷体" w:hAnsi="楷体" w:eastAsia="楷体"/>
          <w:sz w:val="28"/>
          <w:szCs w:val="28"/>
          <w:shd w:val="pct10" w:color="auto" w:fill="FFFFFF"/>
        </w:rPr>
        <w:t>号投资中心（有限合伙）</w:t>
      </w:r>
    </w:p>
    <w:p>
      <w:pPr>
        <w:spacing w:after="156" w:afterLines="50" w:line="360" w:lineRule="exact"/>
        <w:ind w:firstLine="1680" w:firstLineChars="600"/>
        <w:rPr>
          <w:rFonts w:ascii="楷体" w:hAnsi="楷体" w:eastAsia="楷体"/>
          <w:sz w:val="28"/>
          <w:szCs w:val="28"/>
        </w:rPr>
      </w:pPr>
      <w:r>
        <w:rPr>
          <w:rFonts w:ascii="楷体" w:hAnsi="楷体" w:eastAsia="楷体"/>
          <w:sz w:val="28"/>
          <w:szCs w:val="28"/>
        </w:rPr>
        <w:t>受 让 方：</w:t>
      </w:r>
      <w:r>
        <w:rPr>
          <w:rFonts w:ascii="楷体" w:hAnsi="楷体" w:eastAsia="楷体"/>
          <w:sz w:val="28"/>
          <w:szCs w:val="28"/>
          <w:shd w:val="pct10" w:color="auto" w:fill="auto"/>
        </w:rPr>
        <w:t xml:space="preserve"> </w:t>
      </w:r>
      <w:r>
        <w:rPr>
          <w:rFonts w:hint="eastAsia" w:ascii="楷体" w:hAnsi="楷体" w:eastAsia="楷体"/>
          <w:sz w:val="28"/>
          <w:szCs w:val="28"/>
          <w:shd w:val="pct10" w:color="auto" w:fill="auto"/>
          <w:lang w:val="en-US" w:eastAsia="zh-CN"/>
        </w:rPr>
        <w:t xml:space="preserve">           </w:t>
      </w:r>
      <w:r>
        <w:rPr>
          <w:rFonts w:ascii="楷体" w:hAnsi="楷体" w:eastAsia="楷体"/>
          <w:sz w:val="28"/>
          <w:szCs w:val="28"/>
          <w:shd w:val="pct10" w:color="auto" w:fill="FFFFFF"/>
        </w:rPr>
        <w:t xml:space="preserve">    </w:t>
      </w:r>
      <w:r>
        <w:rPr>
          <w:rFonts w:hint="eastAsia" w:ascii="楷体" w:hAnsi="楷体" w:eastAsia="楷体"/>
          <w:sz w:val="28"/>
          <w:szCs w:val="28"/>
          <w:shd w:val="pct10" w:color="auto" w:fill="FFFFFF"/>
          <w:lang w:val="en-US" w:eastAsia="zh-CN"/>
        </w:rPr>
        <w:t xml:space="preserve">                </w:t>
      </w:r>
      <w:r>
        <w:rPr>
          <w:rFonts w:ascii="楷体" w:hAnsi="楷体" w:eastAsia="楷体"/>
          <w:sz w:val="28"/>
          <w:szCs w:val="28"/>
          <w:shd w:val="pct10" w:color="auto" w:fill="FFFFFF"/>
        </w:rPr>
        <w:t xml:space="preserve">    </w:t>
      </w:r>
    </w:p>
    <w:p>
      <w:pPr>
        <w:spacing w:after="156" w:afterLines="50" w:line="360" w:lineRule="exact"/>
        <w:ind w:firstLine="1680" w:firstLineChars="600"/>
        <w:rPr>
          <w:rFonts w:ascii="楷体" w:hAnsi="楷体" w:eastAsia="楷体"/>
          <w:sz w:val="28"/>
          <w:szCs w:val="28"/>
        </w:rPr>
      </w:pPr>
      <w:r>
        <w:rPr>
          <w:rFonts w:ascii="楷体" w:hAnsi="楷体" w:eastAsia="楷体"/>
          <w:sz w:val="28"/>
          <w:szCs w:val="28"/>
        </w:rPr>
        <w:t>签订日期：</w:t>
      </w:r>
      <w:r>
        <w:rPr>
          <w:rFonts w:ascii="楷体" w:hAnsi="楷体" w:eastAsia="楷体"/>
          <w:sz w:val="28"/>
          <w:szCs w:val="28"/>
          <w:shd w:val="pct10" w:color="auto" w:fill="FFFFFF"/>
        </w:rPr>
        <w:t xml:space="preserve"> </w:t>
      </w:r>
      <w:r>
        <w:rPr>
          <w:rFonts w:hint="eastAsia" w:ascii="楷体" w:hAnsi="楷体" w:eastAsia="楷体"/>
          <w:sz w:val="28"/>
          <w:szCs w:val="28"/>
          <w:shd w:val="pct10" w:color="auto" w:fill="FFFFFF"/>
          <w:lang w:val="en-US" w:eastAsia="zh-CN"/>
        </w:rPr>
        <w:t xml:space="preserve">     </w:t>
      </w:r>
      <w:r>
        <w:rPr>
          <w:rFonts w:ascii="楷体" w:hAnsi="楷体" w:eastAsia="楷体"/>
          <w:sz w:val="28"/>
          <w:szCs w:val="28"/>
        </w:rPr>
        <w:t>年</w:t>
      </w:r>
      <w:r>
        <w:rPr>
          <w:rFonts w:ascii="楷体" w:hAnsi="楷体" w:eastAsia="楷体"/>
          <w:sz w:val="28"/>
          <w:szCs w:val="28"/>
          <w:shd w:val="pct10" w:color="auto" w:fill="FFFFFF"/>
        </w:rPr>
        <w:t xml:space="preserve">  </w:t>
      </w:r>
      <w:r>
        <w:rPr>
          <w:rFonts w:hint="eastAsia" w:ascii="楷体" w:hAnsi="楷体" w:eastAsia="楷体"/>
          <w:sz w:val="28"/>
          <w:szCs w:val="28"/>
          <w:shd w:val="pct10" w:color="auto" w:fill="FFFFFF"/>
          <w:lang w:val="en-US" w:eastAsia="zh-CN"/>
        </w:rPr>
        <w:t xml:space="preserve"> </w:t>
      </w:r>
      <w:r>
        <w:rPr>
          <w:rFonts w:ascii="楷体" w:hAnsi="楷体" w:eastAsia="楷体"/>
          <w:sz w:val="28"/>
          <w:szCs w:val="28"/>
          <w:shd w:val="pct10" w:color="auto" w:fill="FFFFFF"/>
        </w:rPr>
        <w:t xml:space="preserve">  </w:t>
      </w:r>
      <w:r>
        <w:rPr>
          <w:rFonts w:ascii="楷体" w:hAnsi="楷体" w:eastAsia="楷体"/>
          <w:sz w:val="28"/>
          <w:szCs w:val="28"/>
        </w:rPr>
        <w:t>月</w:t>
      </w:r>
      <w:r>
        <w:rPr>
          <w:rFonts w:ascii="楷体" w:hAnsi="楷体" w:eastAsia="楷体"/>
          <w:sz w:val="28"/>
          <w:szCs w:val="28"/>
          <w:shd w:val="pct10" w:color="auto" w:fill="FFFFFF"/>
        </w:rPr>
        <w:t xml:space="preserve"> </w:t>
      </w:r>
      <w:r>
        <w:rPr>
          <w:rFonts w:hint="eastAsia" w:ascii="楷体" w:hAnsi="楷体" w:eastAsia="楷体"/>
          <w:sz w:val="28"/>
          <w:szCs w:val="28"/>
          <w:shd w:val="pct10" w:color="auto" w:fill="FFFFFF"/>
          <w:lang w:val="en-US" w:eastAsia="zh-CN"/>
        </w:rPr>
        <w:t xml:space="preserve"> </w:t>
      </w:r>
      <w:r>
        <w:rPr>
          <w:rFonts w:ascii="楷体" w:hAnsi="楷体" w:eastAsia="楷体"/>
          <w:sz w:val="28"/>
          <w:szCs w:val="28"/>
          <w:shd w:val="pct10" w:color="auto" w:fill="FFFFFF"/>
        </w:rPr>
        <w:t xml:space="preserve">   </w:t>
      </w:r>
      <w:r>
        <w:rPr>
          <w:rFonts w:ascii="楷体" w:hAnsi="楷体" w:eastAsia="楷体"/>
          <w:sz w:val="28"/>
          <w:szCs w:val="28"/>
        </w:rPr>
        <w:t>日</w:t>
      </w:r>
    </w:p>
    <w:p>
      <w:pPr>
        <w:rPr>
          <w:rFonts w:ascii="楷体" w:hAnsi="楷体" w:eastAsia="楷体"/>
          <w:color w:val="000000"/>
        </w:rPr>
      </w:pPr>
    </w:p>
    <w:p>
      <w:pPr>
        <w:pStyle w:val="54"/>
        <w:spacing w:line="360" w:lineRule="auto"/>
        <w:jc w:val="center"/>
        <w:rPr>
          <w:rFonts w:ascii="楷体" w:hAnsi="楷体" w:eastAsia="楷体"/>
          <w:b/>
          <w:bCs/>
          <w:sz w:val="36"/>
          <w:szCs w:val="36"/>
        </w:rPr>
      </w:pPr>
      <w:r>
        <w:rPr>
          <w:rFonts w:ascii="楷体" w:hAnsi="楷体" w:eastAsia="楷体"/>
          <w:b/>
          <w:bCs/>
          <w:sz w:val="30"/>
          <w:szCs w:val="30"/>
          <w:lang w:val="zh-CN"/>
        </w:rPr>
        <w:br w:type="page"/>
      </w:r>
      <w:r>
        <w:rPr>
          <w:rFonts w:ascii="楷体" w:hAnsi="楷体" w:eastAsia="楷体"/>
          <w:b/>
          <w:bCs/>
          <w:sz w:val="36"/>
          <w:szCs w:val="36"/>
        </w:rPr>
        <w:t>债权资产转让合同</w:t>
      </w:r>
    </w:p>
    <w:p>
      <w:pPr>
        <w:pStyle w:val="54"/>
        <w:spacing w:after="156" w:afterLines="50" w:line="360" w:lineRule="exact"/>
        <w:jc w:val="center"/>
        <w:rPr>
          <w:rFonts w:ascii="楷体" w:hAnsi="楷体" w:eastAsia="楷体"/>
          <w:b/>
          <w:bCs/>
          <w:sz w:val="32"/>
          <w:szCs w:val="32"/>
        </w:rPr>
      </w:pPr>
    </w:p>
    <w:p>
      <w:pPr>
        <w:pStyle w:val="5"/>
        <w:spacing w:after="156" w:afterLines="50" w:line="360" w:lineRule="exact"/>
        <w:ind w:left="0" w:leftChars="0"/>
        <w:rPr>
          <w:rFonts w:ascii="楷体" w:hAnsi="楷体" w:eastAsia="楷体"/>
          <w:b/>
          <w:bCs/>
          <w:color w:val="000000"/>
          <w:sz w:val="24"/>
          <w:szCs w:val="24"/>
        </w:rPr>
      </w:pPr>
      <w:r>
        <w:rPr>
          <w:rFonts w:ascii="楷体" w:hAnsi="楷体" w:eastAsia="楷体"/>
          <w:color w:val="000000"/>
          <w:sz w:val="24"/>
          <w:szCs w:val="24"/>
        </w:rPr>
        <w:t>本</w:t>
      </w:r>
      <w:r>
        <w:rPr>
          <w:rFonts w:ascii="楷体" w:hAnsi="楷体" w:eastAsia="楷体"/>
          <w:color w:val="000000"/>
          <w:kern w:val="0"/>
          <w:sz w:val="24"/>
          <w:szCs w:val="24"/>
        </w:rPr>
        <w:t>合同</w:t>
      </w:r>
      <w:r>
        <w:rPr>
          <w:rFonts w:ascii="楷体" w:hAnsi="楷体" w:eastAsia="楷体"/>
          <w:color w:val="000000"/>
          <w:sz w:val="24"/>
          <w:szCs w:val="24"/>
        </w:rPr>
        <w:t>由以下双方于</w:t>
      </w:r>
      <w:r>
        <w:rPr>
          <w:rFonts w:hint="eastAsia"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2024</w:t>
      </w:r>
      <w:r>
        <w:rPr>
          <w:rFonts w:hint="eastAsia" w:ascii="楷体" w:hAnsi="楷体" w:eastAsia="楷体"/>
          <w:sz w:val="24"/>
          <w:szCs w:val="24"/>
          <w:shd w:val="pct10" w:color="auto" w:fill="FFFFFF"/>
        </w:rPr>
        <w:t xml:space="preserve"> </w:t>
      </w:r>
      <w:r>
        <w:rPr>
          <w:rFonts w:ascii="楷体" w:hAnsi="楷体" w:eastAsia="楷体"/>
          <w:color w:val="000000"/>
          <w:sz w:val="24"/>
          <w:szCs w:val="24"/>
        </w:rPr>
        <w:t>年</w:t>
      </w:r>
      <w:r>
        <w:rPr>
          <w:rFonts w:hint="eastAsia"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 xml:space="preserve"> </w:t>
      </w:r>
      <w:r>
        <w:rPr>
          <w:rFonts w:ascii="楷体" w:hAnsi="楷体" w:eastAsia="楷体"/>
          <w:color w:val="000000"/>
          <w:sz w:val="24"/>
          <w:szCs w:val="24"/>
        </w:rPr>
        <w:t>月</w:t>
      </w:r>
      <w:r>
        <w:rPr>
          <w:rFonts w:hint="eastAsia" w:ascii="楷体" w:hAnsi="楷体" w:eastAsia="楷体"/>
          <w:sz w:val="24"/>
          <w:szCs w:val="24"/>
          <w:shd w:val="pct10" w:color="auto" w:fill="FFFFFF"/>
        </w:rPr>
        <w:t xml:space="preserve">   </w:t>
      </w:r>
      <w:r>
        <w:rPr>
          <w:rFonts w:ascii="楷体" w:hAnsi="楷体" w:eastAsia="楷体"/>
          <w:color w:val="000000"/>
          <w:sz w:val="24"/>
          <w:szCs w:val="24"/>
        </w:rPr>
        <w:t>日在中国</w:t>
      </w:r>
      <w:r>
        <w:rPr>
          <w:rFonts w:hint="eastAsia"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深圳</w:t>
      </w:r>
      <w:r>
        <w:rPr>
          <w:rFonts w:hint="eastAsia" w:ascii="楷体" w:hAnsi="楷体" w:eastAsia="楷体"/>
          <w:sz w:val="24"/>
          <w:szCs w:val="24"/>
          <w:shd w:val="pct10" w:color="auto" w:fill="FFFFFF"/>
        </w:rPr>
        <w:t xml:space="preserve"> </w:t>
      </w:r>
      <w:r>
        <w:rPr>
          <w:rFonts w:ascii="楷体" w:hAnsi="楷体" w:eastAsia="楷体"/>
          <w:color w:val="000000"/>
          <w:sz w:val="24"/>
          <w:szCs w:val="24"/>
        </w:rPr>
        <w:t>市</w:t>
      </w:r>
      <w:r>
        <w:rPr>
          <w:rFonts w:hint="eastAsia" w:ascii="楷体" w:hAnsi="楷体" w:eastAsia="楷体"/>
          <w:sz w:val="24"/>
          <w:szCs w:val="24"/>
          <w:shd w:val="pct10" w:color="auto" w:fill="FFFFFF"/>
          <w:lang w:val="en-US" w:eastAsia="zh-CN"/>
        </w:rPr>
        <w:t xml:space="preserve"> 南山 </w:t>
      </w:r>
      <w:r>
        <w:rPr>
          <w:rFonts w:ascii="楷体" w:hAnsi="楷体" w:eastAsia="楷体"/>
          <w:color w:val="000000"/>
          <w:sz w:val="24"/>
          <w:szCs w:val="24"/>
        </w:rPr>
        <w:t>区签署：</w:t>
      </w:r>
    </w:p>
    <w:p>
      <w:pPr>
        <w:spacing w:after="156" w:afterLines="50" w:line="360" w:lineRule="exact"/>
        <w:rPr>
          <w:rFonts w:ascii="楷体" w:hAnsi="楷体" w:eastAsia="楷体"/>
          <w:b/>
          <w:bCs/>
          <w:color w:val="000000"/>
          <w:sz w:val="24"/>
          <w:szCs w:val="24"/>
          <w:u w:val="single"/>
        </w:rPr>
      </w:pPr>
      <w:r>
        <w:rPr>
          <w:rFonts w:hint="eastAsia" w:ascii="楷体" w:hAnsi="楷体" w:eastAsia="楷体"/>
          <w:b/>
          <w:bCs/>
          <w:color w:val="000000"/>
          <w:sz w:val="24"/>
          <w:szCs w:val="24"/>
        </w:rPr>
        <w:t>转让方</w:t>
      </w:r>
      <w:r>
        <w:rPr>
          <w:rFonts w:ascii="楷体" w:hAnsi="楷体" w:eastAsia="楷体"/>
          <w:b/>
          <w:bCs/>
          <w:color w:val="000000"/>
          <w:sz w:val="24"/>
          <w:szCs w:val="24"/>
        </w:rPr>
        <w:t>：</w:t>
      </w:r>
      <w:r>
        <w:rPr>
          <w:rFonts w:ascii="楷体" w:hAnsi="楷体" w:eastAsia="楷体"/>
          <w:b/>
          <w:bCs/>
          <w:sz w:val="24"/>
          <w:szCs w:val="24"/>
          <w:shd w:val="pct10" w:color="auto" w:fill="FFFFFF"/>
        </w:rPr>
        <w:t>深圳市</w:t>
      </w:r>
      <w:r>
        <w:rPr>
          <w:rFonts w:hint="eastAsia" w:ascii="楷体" w:hAnsi="楷体" w:eastAsia="楷体"/>
          <w:b/>
          <w:bCs/>
          <w:sz w:val="24"/>
          <w:szCs w:val="24"/>
          <w:shd w:val="pct10" w:color="auto" w:fill="FFFFFF"/>
        </w:rPr>
        <w:t>招平申城</w:t>
      </w:r>
      <w:r>
        <w:rPr>
          <w:rFonts w:hint="eastAsia" w:ascii="楷体" w:hAnsi="楷体" w:eastAsia="楷体"/>
          <w:b/>
          <w:bCs/>
          <w:sz w:val="24"/>
          <w:szCs w:val="24"/>
          <w:shd w:val="pct10" w:color="auto" w:fill="FFFFFF"/>
          <w:lang w:val="en-US" w:eastAsia="zh-CN"/>
        </w:rPr>
        <w:t>五</w:t>
      </w:r>
      <w:r>
        <w:rPr>
          <w:rFonts w:hint="eastAsia" w:ascii="楷体" w:hAnsi="楷体" w:eastAsia="楷体"/>
          <w:b/>
          <w:bCs/>
          <w:sz w:val="24"/>
          <w:szCs w:val="24"/>
          <w:shd w:val="pct10" w:color="auto" w:fill="FFFFFF"/>
        </w:rPr>
        <w:t>号投资中心（有限合伙）</w:t>
      </w:r>
      <w:r>
        <w:rPr>
          <w:rFonts w:hint="eastAsia" w:ascii="楷体" w:hAnsi="楷体" w:eastAsia="楷体"/>
          <w:b/>
          <w:bCs/>
          <w:color w:val="000000"/>
          <w:sz w:val="24"/>
          <w:szCs w:val="24"/>
        </w:rPr>
        <w:t>（以下简称“甲方”）</w:t>
      </w:r>
    </w:p>
    <w:p>
      <w:pPr>
        <w:spacing w:after="156" w:afterLines="50" w:line="360" w:lineRule="exact"/>
        <w:rPr>
          <w:rFonts w:hint="default" w:ascii="楷体" w:hAnsi="楷体" w:eastAsia="楷体"/>
          <w:color w:val="000000"/>
          <w:sz w:val="24"/>
          <w:szCs w:val="24"/>
          <w:lang w:val="en-US" w:eastAsia="zh-CN"/>
        </w:rPr>
      </w:pPr>
      <w:r>
        <w:rPr>
          <w:rFonts w:hint="eastAsia" w:ascii="楷体" w:hAnsi="楷体" w:eastAsia="楷体"/>
          <w:color w:val="000000"/>
          <w:sz w:val="24"/>
          <w:szCs w:val="24"/>
        </w:rPr>
        <w:t>执行事务合伙人委派代表</w:t>
      </w:r>
      <w:r>
        <w:rPr>
          <w:rFonts w:hint="eastAsia" w:ascii="楷体" w:hAnsi="楷体" w:eastAsia="楷体"/>
          <w:color w:val="000000"/>
          <w:sz w:val="24"/>
          <w:szCs w:val="24"/>
          <w:lang w:eastAsia="zh-CN"/>
        </w:rPr>
        <w:t>：</w:t>
      </w:r>
      <w:r>
        <w:rPr>
          <w:rFonts w:hint="eastAsia" w:ascii="楷体" w:hAnsi="楷体" w:eastAsia="楷体"/>
          <w:sz w:val="24"/>
          <w:szCs w:val="24"/>
          <w:shd w:val="pct10" w:color="auto" w:fill="FFFFFF"/>
          <w:lang w:val="en-US" w:eastAsia="zh-CN"/>
        </w:rPr>
        <w:t xml:space="preserve">         </w:t>
      </w:r>
    </w:p>
    <w:p>
      <w:pPr>
        <w:spacing w:after="156" w:afterLines="50" w:line="360" w:lineRule="exact"/>
        <w:rPr>
          <w:rFonts w:hint="default" w:ascii="楷体" w:hAnsi="楷体" w:eastAsia="楷体"/>
          <w:color w:val="000000"/>
          <w:sz w:val="24"/>
          <w:szCs w:val="24"/>
          <w:u w:val="single"/>
          <w:lang w:val="en-US" w:eastAsia="zh-CN"/>
        </w:rPr>
      </w:pPr>
      <w:r>
        <w:rPr>
          <w:rFonts w:ascii="楷体" w:hAnsi="楷体" w:eastAsia="楷体"/>
          <w:color w:val="000000"/>
          <w:sz w:val="24"/>
          <w:szCs w:val="24"/>
        </w:rPr>
        <w:t>地址</w:t>
      </w:r>
      <w:r>
        <w:rPr>
          <w:rFonts w:hint="eastAsia" w:ascii="楷体" w:hAnsi="楷体" w:eastAsia="楷体"/>
          <w:color w:val="000000"/>
          <w:sz w:val="24"/>
          <w:szCs w:val="24"/>
          <w:lang w:eastAsia="zh-CN"/>
        </w:rPr>
        <w:t>：</w:t>
      </w:r>
      <w:r>
        <w:rPr>
          <w:rFonts w:hint="eastAsia" w:ascii="楷体" w:hAnsi="楷体" w:eastAsia="楷体"/>
          <w:sz w:val="24"/>
          <w:szCs w:val="24"/>
          <w:shd w:val="pct10" w:color="auto" w:fill="FFFFFF"/>
          <w:lang w:val="en-US" w:eastAsia="zh-CN"/>
        </w:rPr>
        <w:t xml:space="preserve">                           </w:t>
      </w:r>
    </w:p>
    <w:p>
      <w:pPr>
        <w:spacing w:after="156" w:afterLines="50" w:line="360" w:lineRule="exact"/>
        <w:rPr>
          <w:rFonts w:ascii="楷体" w:hAnsi="楷体" w:eastAsia="楷体"/>
          <w:color w:val="000000"/>
          <w:sz w:val="24"/>
          <w:szCs w:val="24"/>
          <w:u w:val="single"/>
        </w:rPr>
      </w:pPr>
      <w:r>
        <w:rPr>
          <w:rFonts w:ascii="楷体" w:hAnsi="楷体" w:eastAsia="楷体"/>
          <w:color w:val="000000"/>
          <w:sz w:val="24"/>
          <w:szCs w:val="24"/>
        </w:rPr>
        <w:t>联系人</w:t>
      </w:r>
      <w:r>
        <w:rPr>
          <w:rFonts w:hint="eastAsia" w:ascii="楷体" w:hAnsi="楷体" w:eastAsia="楷体"/>
          <w:color w:val="000000"/>
          <w:sz w:val="24"/>
          <w:szCs w:val="24"/>
          <w:lang w:eastAsia="zh-CN"/>
        </w:rPr>
        <w:t>：</w:t>
      </w:r>
      <w:r>
        <w:rPr>
          <w:rFonts w:hint="eastAsia" w:ascii="楷体" w:hAnsi="楷体" w:eastAsia="楷体"/>
          <w:sz w:val="24"/>
          <w:szCs w:val="24"/>
          <w:shd w:val="pct10" w:color="auto" w:fill="FFFFFF"/>
          <w:lang w:val="en-US" w:eastAsia="zh-CN"/>
        </w:rPr>
        <w:t xml:space="preserve">           </w:t>
      </w:r>
      <w:r>
        <w:rPr>
          <w:rFonts w:ascii="楷体" w:hAnsi="楷体" w:eastAsia="楷体"/>
          <w:color w:val="000000"/>
          <w:sz w:val="24"/>
          <w:szCs w:val="24"/>
        </w:rPr>
        <w:t xml:space="preserve">        联系电话：</w:t>
      </w:r>
      <w:r>
        <w:rPr>
          <w:rFonts w:hint="eastAsia" w:ascii="楷体" w:hAnsi="楷体" w:eastAsia="楷体"/>
          <w:sz w:val="24"/>
          <w:szCs w:val="24"/>
          <w:shd w:val="pct10" w:color="auto" w:fill="FFFFFF"/>
          <w:lang w:val="en-US" w:eastAsia="zh-CN"/>
        </w:rPr>
        <w:t xml:space="preserve">                </w:t>
      </w:r>
    </w:p>
    <w:p>
      <w:pPr>
        <w:spacing w:after="156" w:afterLines="50"/>
        <w:rPr>
          <w:rFonts w:ascii="楷体" w:hAnsi="楷体" w:eastAsia="楷体"/>
          <w:b/>
          <w:bCs/>
          <w:color w:val="000000"/>
          <w:sz w:val="24"/>
          <w:szCs w:val="24"/>
        </w:rPr>
      </w:pPr>
    </w:p>
    <w:p>
      <w:pPr>
        <w:spacing w:after="156" w:afterLines="50" w:line="360" w:lineRule="exact"/>
        <w:rPr>
          <w:rFonts w:ascii="楷体" w:hAnsi="楷体" w:eastAsia="楷体"/>
          <w:b/>
          <w:bCs/>
          <w:color w:val="000000"/>
          <w:sz w:val="24"/>
          <w:szCs w:val="24"/>
        </w:rPr>
      </w:pPr>
      <w:r>
        <w:rPr>
          <w:rFonts w:hint="eastAsia" w:ascii="楷体" w:hAnsi="楷体" w:eastAsia="楷体"/>
          <w:b/>
          <w:bCs/>
          <w:color w:val="000000"/>
          <w:sz w:val="24"/>
          <w:szCs w:val="24"/>
        </w:rPr>
        <w:t>受让方</w:t>
      </w:r>
      <w:r>
        <w:rPr>
          <w:rFonts w:ascii="楷体" w:hAnsi="楷体" w:eastAsia="楷体"/>
          <w:b/>
          <w:bCs/>
          <w:color w:val="000000"/>
          <w:sz w:val="24"/>
          <w:szCs w:val="24"/>
        </w:rPr>
        <w:t>：</w:t>
      </w:r>
      <w:r>
        <w:rPr>
          <w:rFonts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 xml:space="preserve">                        </w:t>
      </w:r>
      <w:r>
        <w:rPr>
          <w:rFonts w:hint="eastAsia" w:ascii="楷体" w:hAnsi="楷体" w:eastAsia="楷体"/>
          <w:b/>
          <w:bCs/>
          <w:color w:val="000000"/>
          <w:sz w:val="24"/>
          <w:szCs w:val="24"/>
        </w:rPr>
        <w:t>（以下简称“乙方”）</w:t>
      </w:r>
    </w:p>
    <w:p>
      <w:pPr>
        <w:spacing w:after="156" w:afterLines="50" w:line="360" w:lineRule="exact"/>
        <w:rPr>
          <w:rFonts w:hint="default" w:ascii="楷体" w:hAnsi="楷体" w:eastAsia="楷体"/>
          <w:sz w:val="24"/>
          <w:szCs w:val="24"/>
          <w:shd w:val="pct10" w:color="auto" w:fill="FFFFFF"/>
          <w:lang w:val="en-US" w:eastAsia="zh-CN"/>
        </w:rPr>
      </w:pPr>
      <w:r>
        <w:rPr>
          <w:rFonts w:ascii="楷体" w:hAnsi="楷体" w:eastAsia="楷体"/>
          <w:color w:val="000000"/>
          <w:sz w:val="24"/>
          <w:szCs w:val="24"/>
        </w:rPr>
        <w:t>法定代表人/负责人：</w:t>
      </w:r>
      <w:r>
        <w:rPr>
          <w:rFonts w:hint="eastAsia" w:ascii="楷体" w:hAnsi="楷体" w:eastAsia="楷体"/>
          <w:sz w:val="24"/>
          <w:szCs w:val="24"/>
          <w:shd w:val="pct10" w:color="auto" w:fill="FFFFFF"/>
          <w:lang w:val="en-US" w:eastAsia="zh-CN"/>
        </w:rPr>
        <w:t xml:space="preserve">              </w:t>
      </w:r>
    </w:p>
    <w:p>
      <w:pPr>
        <w:spacing w:after="156" w:afterLines="50" w:line="360" w:lineRule="exact"/>
        <w:rPr>
          <w:rFonts w:ascii="楷体" w:hAnsi="楷体" w:eastAsia="楷体" w:cs="Times New Roman"/>
          <w:color w:val="000000"/>
          <w:sz w:val="24"/>
          <w:szCs w:val="24"/>
        </w:rPr>
      </w:pPr>
      <w:r>
        <w:rPr>
          <w:rFonts w:ascii="楷体" w:hAnsi="楷体" w:eastAsia="楷体" w:cs="Times New Roman"/>
          <w:color w:val="000000"/>
          <w:sz w:val="24"/>
          <w:szCs w:val="24"/>
        </w:rPr>
        <w:t>地址：</w:t>
      </w:r>
      <w:r>
        <w:rPr>
          <w:rFonts w:hint="eastAsia" w:ascii="楷体" w:hAnsi="楷体" w:eastAsia="楷体" w:cs="Times New Roman"/>
          <w:sz w:val="24"/>
          <w:szCs w:val="24"/>
          <w:shd w:val="pct10" w:color="auto" w:fill="FFFFFF"/>
          <w:lang w:val="en-US" w:eastAsia="zh-CN"/>
        </w:rPr>
        <w:t xml:space="preserve">                           </w:t>
      </w:r>
    </w:p>
    <w:p>
      <w:pPr>
        <w:spacing w:after="156" w:afterLines="50"/>
        <w:rPr>
          <w:rFonts w:ascii="楷体" w:hAnsi="楷体" w:eastAsia="楷体"/>
          <w:color w:val="000000"/>
          <w:sz w:val="24"/>
          <w:szCs w:val="24"/>
        </w:rPr>
      </w:pPr>
      <w:r>
        <w:rPr>
          <w:rFonts w:ascii="楷体" w:hAnsi="楷体" w:eastAsia="楷体" w:cs="Times New Roman"/>
          <w:color w:val="000000"/>
          <w:sz w:val="24"/>
          <w:szCs w:val="24"/>
        </w:rPr>
        <w:t>联系人：</w:t>
      </w:r>
      <w:r>
        <w:rPr>
          <w:rFonts w:hint="eastAsia" w:ascii="楷体" w:hAnsi="楷体" w:eastAsia="楷体" w:cs="Times New Roman"/>
          <w:sz w:val="24"/>
          <w:szCs w:val="24"/>
          <w:shd w:val="pct10" w:color="auto" w:fill="FFFFFF"/>
          <w:lang w:val="en-US" w:eastAsia="zh-CN"/>
        </w:rPr>
        <w:t xml:space="preserve">           </w:t>
      </w:r>
      <w:r>
        <w:rPr>
          <w:rFonts w:hint="eastAsia" w:ascii="楷体" w:hAnsi="楷体" w:eastAsia="楷体" w:cs="Times New Roman"/>
          <w:color w:val="000000"/>
          <w:sz w:val="24"/>
          <w:szCs w:val="24"/>
        </w:rPr>
        <w:t xml:space="preserve"> </w:t>
      </w:r>
      <w:r>
        <w:rPr>
          <w:rFonts w:hint="eastAsia" w:ascii="楷体" w:hAnsi="楷体" w:eastAsia="楷体" w:cs="Times New Roman"/>
          <w:color w:val="000000"/>
          <w:sz w:val="24"/>
          <w:szCs w:val="24"/>
          <w:lang w:val="en-US" w:eastAsia="zh-CN"/>
        </w:rPr>
        <w:t xml:space="preserve">  </w:t>
      </w:r>
      <w:r>
        <w:rPr>
          <w:rFonts w:hint="eastAsia" w:ascii="楷体" w:hAnsi="楷体" w:eastAsia="楷体" w:cs="Times New Roman"/>
          <w:color w:val="000000"/>
          <w:sz w:val="24"/>
          <w:szCs w:val="24"/>
        </w:rPr>
        <w:t xml:space="preserve">    </w:t>
      </w:r>
      <w:r>
        <w:rPr>
          <w:rFonts w:ascii="楷体" w:hAnsi="楷体" w:eastAsia="楷体" w:cs="Times New Roman"/>
          <w:color w:val="000000"/>
          <w:sz w:val="24"/>
          <w:szCs w:val="24"/>
        </w:rPr>
        <w:t>联系电话：</w:t>
      </w:r>
      <w:r>
        <w:rPr>
          <w:rFonts w:hint="eastAsia" w:ascii="楷体" w:hAnsi="楷体" w:eastAsia="楷体" w:cs="Times New Roman"/>
          <w:sz w:val="24"/>
          <w:szCs w:val="24"/>
          <w:shd w:val="pct10" w:color="auto" w:fill="FFFFFF"/>
        </w:rPr>
        <w:t xml:space="preserve"> </w:t>
      </w:r>
      <w:r>
        <w:rPr>
          <w:rFonts w:hint="eastAsia" w:ascii="楷体" w:hAnsi="楷体" w:eastAsia="楷体" w:cs="Times New Roman"/>
          <w:sz w:val="24"/>
          <w:szCs w:val="24"/>
          <w:shd w:val="pct10" w:color="auto" w:fill="FFFFFF"/>
          <w:lang w:val="en-US" w:eastAsia="zh-CN"/>
        </w:rPr>
        <w:t xml:space="preserve">                 </w:t>
      </w:r>
    </w:p>
    <w:p>
      <w:pPr>
        <w:spacing w:after="156" w:afterLines="50" w:line="360" w:lineRule="exact"/>
        <w:rPr>
          <w:rFonts w:ascii="楷体" w:hAnsi="楷体" w:eastAsia="楷体"/>
          <w:color w:val="000000"/>
          <w:sz w:val="24"/>
          <w:szCs w:val="24"/>
        </w:rPr>
      </w:pPr>
      <w:r>
        <w:rPr>
          <w:rFonts w:ascii="楷体" w:hAnsi="楷体" w:eastAsia="楷体"/>
          <w:color w:val="000000"/>
          <w:sz w:val="24"/>
          <w:szCs w:val="24"/>
        </w:rPr>
        <w:t>（上述主体单称“一方”，合称“双方”）</w:t>
      </w:r>
    </w:p>
    <w:p>
      <w:pPr>
        <w:spacing w:after="156" w:afterLines="50" w:line="360" w:lineRule="exact"/>
        <w:rPr>
          <w:rFonts w:ascii="楷体" w:hAnsi="楷体" w:eastAsia="楷体"/>
          <w:color w:val="000000"/>
          <w:sz w:val="24"/>
          <w:szCs w:val="24"/>
        </w:rPr>
      </w:pPr>
    </w:p>
    <w:p>
      <w:pPr>
        <w:spacing w:after="156" w:afterLines="50" w:line="360" w:lineRule="exact"/>
        <w:rPr>
          <w:rFonts w:ascii="楷体" w:hAnsi="楷体" w:eastAsia="楷体"/>
          <w:b/>
          <w:bCs/>
          <w:color w:val="000000"/>
          <w:sz w:val="24"/>
          <w:szCs w:val="24"/>
        </w:rPr>
      </w:pPr>
      <w:r>
        <w:rPr>
          <w:rFonts w:ascii="楷体" w:hAnsi="楷体" w:eastAsia="楷体"/>
          <w:b/>
          <w:bCs/>
          <w:color w:val="000000"/>
          <w:sz w:val="24"/>
          <w:szCs w:val="24"/>
        </w:rPr>
        <w:t>鉴于：</w:t>
      </w:r>
    </w:p>
    <w:p>
      <w:pPr>
        <w:pStyle w:val="55"/>
        <w:numPr>
          <w:ilvl w:val="0"/>
          <w:numId w:val="1"/>
        </w:numPr>
        <w:tabs>
          <w:tab w:val="left" w:pos="735"/>
        </w:tabs>
        <w:spacing w:after="156" w:afterLines="50" w:line="360" w:lineRule="exact"/>
        <w:ind w:firstLineChars="0"/>
        <w:rPr>
          <w:rFonts w:ascii="楷体" w:hAnsi="楷体" w:eastAsia="楷体"/>
          <w:color w:val="000000"/>
          <w:sz w:val="24"/>
          <w:szCs w:val="24"/>
        </w:rPr>
      </w:pPr>
      <w:r>
        <w:rPr>
          <w:rFonts w:ascii="楷体" w:hAnsi="楷体" w:eastAsia="楷体"/>
          <w:color w:val="000000"/>
          <w:sz w:val="24"/>
          <w:szCs w:val="24"/>
        </w:rPr>
        <w:t>甲方合法拥有本合同附件1《标的债权清单》项下的标的债权及其附属权益，具备依法转让标的债权的资质。</w:t>
      </w:r>
    </w:p>
    <w:p>
      <w:pPr>
        <w:pStyle w:val="55"/>
        <w:numPr>
          <w:ilvl w:val="0"/>
          <w:numId w:val="1"/>
        </w:numPr>
        <w:tabs>
          <w:tab w:val="left" w:pos="735"/>
        </w:tabs>
        <w:spacing w:after="156" w:afterLines="50" w:line="360" w:lineRule="exact"/>
        <w:ind w:firstLineChars="0"/>
        <w:rPr>
          <w:rFonts w:ascii="楷体" w:hAnsi="楷体" w:eastAsia="楷体"/>
          <w:color w:val="000000"/>
          <w:sz w:val="24"/>
          <w:szCs w:val="24"/>
        </w:rPr>
      </w:pPr>
      <w:r>
        <w:rPr>
          <w:rFonts w:ascii="楷体" w:hAnsi="楷体" w:eastAsia="楷体"/>
          <w:color w:val="000000"/>
          <w:sz w:val="24"/>
          <w:szCs w:val="24"/>
        </w:rPr>
        <w:t>乙方具备受让资格并自主决定受让本合同附件1《标的债权清单》项下的标的债权。</w:t>
      </w:r>
    </w:p>
    <w:p>
      <w:pPr>
        <w:pStyle w:val="55"/>
        <w:numPr>
          <w:ilvl w:val="0"/>
          <w:numId w:val="1"/>
        </w:numPr>
        <w:tabs>
          <w:tab w:val="left" w:pos="735"/>
        </w:tabs>
        <w:spacing w:after="156" w:afterLines="50" w:line="360" w:lineRule="exact"/>
        <w:ind w:left="735" w:hanging="735" w:firstLineChars="0"/>
        <w:rPr>
          <w:rFonts w:ascii="楷体" w:hAnsi="楷体" w:eastAsia="楷体"/>
          <w:color w:val="000000"/>
          <w:sz w:val="24"/>
          <w:szCs w:val="24"/>
        </w:rPr>
      </w:pPr>
      <w:r>
        <w:rPr>
          <w:rFonts w:ascii="楷体" w:hAnsi="楷体" w:eastAsia="楷体"/>
          <w:color w:val="000000"/>
          <w:sz w:val="24"/>
          <w:szCs w:val="24"/>
        </w:rPr>
        <w:t>甲方同意按照本合同约定转让且乙方同意按照本合同约定受让本合同项下的标的债权。</w:t>
      </w:r>
    </w:p>
    <w:p>
      <w:pPr>
        <w:pStyle w:val="55"/>
        <w:numPr>
          <w:ilvl w:val="0"/>
          <w:numId w:val="0"/>
        </w:numPr>
        <w:tabs>
          <w:tab w:val="left" w:pos="414"/>
          <w:tab w:val="left" w:pos="735"/>
        </w:tabs>
        <w:spacing w:after="156" w:afterLines="50" w:line="360" w:lineRule="exact"/>
        <w:ind w:leftChars="0"/>
        <w:rPr>
          <w:rFonts w:ascii="楷体" w:hAnsi="楷体" w:eastAsia="楷体"/>
          <w:color w:val="000000"/>
          <w:sz w:val="24"/>
          <w:szCs w:val="24"/>
        </w:rPr>
      </w:pPr>
    </w:p>
    <w:p>
      <w:pPr>
        <w:spacing w:after="156" w:afterLines="50" w:line="360" w:lineRule="exact"/>
        <w:ind w:firstLine="480" w:firstLineChars="200"/>
        <w:rPr>
          <w:rFonts w:ascii="楷体" w:hAnsi="楷体" w:eastAsia="楷体"/>
          <w:color w:val="000000"/>
          <w:sz w:val="24"/>
          <w:szCs w:val="24"/>
        </w:rPr>
      </w:pPr>
      <w:r>
        <w:rPr>
          <w:rFonts w:ascii="楷体" w:hAnsi="楷体" w:eastAsia="楷体"/>
          <w:color w:val="000000"/>
          <w:sz w:val="24"/>
          <w:szCs w:val="24"/>
        </w:rPr>
        <w:t>为进一步明确双方的权利义务关系，甲乙双方在平等自愿、友好协商的基础上，就标的债权转让事宜达成以下条款，以资共同遵守。</w:t>
      </w:r>
    </w:p>
    <w:p>
      <w:pPr>
        <w:numPr>
          <w:ilvl w:val="0"/>
          <w:numId w:val="2"/>
        </w:numPr>
        <w:spacing w:after="156" w:afterLines="50" w:line="360" w:lineRule="exact"/>
        <w:outlineLvl w:val="0"/>
        <w:rPr>
          <w:rFonts w:ascii="楷体" w:hAnsi="楷体" w:eastAsia="楷体"/>
          <w:b/>
          <w:bCs/>
          <w:color w:val="000000"/>
          <w:sz w:val="24"/>
          <w:szCs w:val="24"/>
        </w:rPr>
      </w:pPr>
      <w:bookmarkStart w:id="0" w:name="_Toc7525"/>
      <w:bookmarkStart w:id="1" w:name="_Toc494225877"/>
      <w:bookmarkStart w:id="2" w:name="_Toc28041"/>
      <w:bookmarkStart w:id="3" w:name="_Toc494284903"/>
      <w:bookmarkStart w:id="4" w:name="_Toc533512270"/>
      <w:r>
        <w:rPr>
          <w:rFonts w:ascii="楷体" w:hAnsi="楷体" w:eastAsia="楷体"/>
          <w:b/>
          <w:bCs/>
          <w:color w:val="000000"/>
          <w:sz w:val="24"/>
          <w:szCs w:val="24"/>
        </w:rPr>
        <w:t>定义</w:t>
      </w:r>
      <w:bookmarkEnd w:id="0"/>
      <w:bookmarkEnd w:id="1"/>
      <w:bookmarkEnd w:id="2"/>
      <w:bookmarkEnd w:id="3"/>
      <w:bookmarkEnd w:id="4"/>
    </w:p>
    <w:p>
      <w:pPr>
        <w:spacing w:after="156" w:afterLines="50" w:line="360" w:lineRule="exact"/>
        <w:ind w:firstLine="480" w:firstLineChars="200"/>
        <w:rPr>
          <w:rFonts w:ascii="楷体" w:hAnsi="楷体" w:eastAsia="楷体"/>
          <w:color w:val="000000"/>
          <w:sz w:val="24"/>
          <w:szCs w:val="24"/>
        </w:rPr>
      </w:pPr>
      <w:r>
        <w:rPr>
          <w:rFonts w:ascii="楷体" w:hAnsi="楷体" w:eastAsia="楷体"/>
          <w:color w:val="000000"/>
          <w:sz w:val="24"/>
          <w:szCs w:val="24"/>
        </w:rPr>
        <w:t>除非本合同上下文另有解释或文义另有所指，下列词语或简称在本合同及本合同附件中具有以下特定涵义：</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主债权：指截至基准日，附件1《标的债权清单》所列示的甲方对债务人享有的并依法可向乙方转让的债权（包含债权本金、利息及相关资产文件项下的其他权利）。</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从权利：指与主债权相关的保证债权、抵押权、质权等附属权利。</w:t>
      </w:r>
    </w:p>
    <w:p>
      <w:pPr>
        <w:numPr>
          <w:ilvl w:val="1"/>
          <w:numId w:val="2"/>
        </w:numPr>
        <w:spacing w:after="156" w:afterLines="50" w:line="360" w:lineRule="exact"/>
        <w:ind w:right="84" w:rightChars="40"/>
        <w:outlineLvl w:val="1"/>
        <w:rPr>
          <w:rFonts w:ascii="楷体" w:hAnsi="楷体" w:eastAsia="楷体"/>
          <w:color w:val="000000"/>
          <w:sz w:val="24"/>
          <w:szCs w:val="24"/>
        </w:rPr>
      </w:pPr>
      <w:r>
        <w:rPr>
          <w:rFonts w:ascii="楷体" w:hAnsi="楷体" w:eastAsia="楷体"/>
          <w:color w:val="000000"/>
          <w:sz w:val="24"/>
          <w:szCs w:val="24"/>
        </w:rPr>
        <w:t>标的债权：指截至基准日的主债权、从权利以及由此转化的其他相关权益的通称。其他相关权益是指：基准日前，甲方（及其前手）因管理、处置需要可能已与《标的债权清单》中部分债务人（包括担保人）达成包括但不限于重组协议、和解协议、抵债协议，或接受法院抵债裁定，而这些协议并未履行完毕或抵债物未完成过户，因此，乙方受让的对该等债务人（包括担保人）的债权，已从原始的贷款合同、担保合同项下的债权，全部或部分转化为前述协议项下或法院生效裁定所对应的权利，包括法院退回的甲方及其前手交纳的诉讼费用。</w:t>
      </w:r>
    </w:p>
    <w:p>
      <w:pPr>
        <w:numPr>
          <w:ilvl w:val="1"/>
          <w:numId w:val="2"/>
        </w:numPr>
        <w:spacing w:after="312" w:afterLines="100" w:line="300" w:lineRule="auto"/>
        <w:outlineLvl w:val="1"/>
        <w:rPr>
          <w:rFonts w:ascii="楷体" w:hAnsi="楷体" w:eastAsia="楷体"/>
          <w:color w:val="000000"/>
          <w:sz w:val="24"/>
          <w:szCs w:val="24"/>
        </w:rPr>
      </w:pPr>
      <w:r>
        <w:rPr>
          <w:rFonts w:ascii="楷体" w:hAnsi="楷体" w:eastAsia="楷体"/>
          <w:color w:val="000000"/>
          <w:sz w:val="24"/>
          <w:szCs w:val="24"/>
        </w:rPr>
        <w:t>债务人：指《标的债权清单》所列的借款人，以及该等债务的受让人、承担人及承继人。</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义务人：指本合同中标的债权的债务人和/或担保人（单独或者合称“原义务人”）以及赔偿责任人（与原义务人单独或者合称“义务人”）。“义务人”包括但不限于本合同《标的债权清单》所列明的义务人或者经债务转移/债务承继/债务加入后新增之公司/企业、其他经济组织（包括清算组织）、自然人的全部、部分。</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担保人：指为担保《标的债权清单》所列债务之履行而提供担保的保证人、抵（质）押人、留置人的全部、部分。</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标的债权文件：指截至</w:t>
      </w:r>
      <w:r>
        <w:rPr>
          <w:rFonts w:hint="eastAsia" w:ascii="楷体" w:hAnsi="楷体" w:eastAsia="楷体"/>
          <w:color w:val="000000"/>
          <w:sz w:val="24"/>
          <w:szCs w:val="24"/>
          <w:lang w:val="en-US" w:eastAsia="zh-CN"/>
        </w:rPr>
        <w:t>交割</w:t>
      </w:r>
      <w:r>
        <w:rPr>
          <w:rFonts w:ascii="楷体" w:hAnsi="楷体" w:eastAsia="楷体"/>
          <w:color w:val="000000"/>
          <w:sz w:val="24"/>
          <w:szCs w:val="24"/>
        </w:rPr>
        <w:t>日甲方所持有的与确认和行使标的债权相关的法律文件。包括截至基准日甲方所持有的并通过淘宝网、京东等资产处置平台等其他方式向竞买人披露的与标的债权相关的法律文件和甲方所持有的在过渡期和交接期内新产生的与标的债权相关的法律文件。</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处置收入：指自基准日起的任何期间内，就标的债权所实际收到的全部现金款项、抵债资产和其他相关权益。</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处置费用：指自基准日起，在处置标的债权过程中实际发生的所有必要和合理的费用和开支，包括但不限于为资产管理、处置所发生的案件受理费、保全费、执行费、律师费、评估费、拍卖费、公告费等（应具有相关的协议、合同、发票、付款凭证等合法凭据及付款的法律依据），并根据本合同第6.3款确定。</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基准日：指甲方确定的计算标的债权本金及利息余额的日期，即</w:t>
      </w:r>
      <w:r>
        <w:rPr>
          <w:rFonts w:ascii="楷体" w:hAnsi="楷体" w:eastAsia="楷体"/>
          <w:sz w:val="24"/>
          <w:szCs w:val="24"/>
          <w:shd w:val="pct10" w:color="auto" w:fill="FFFFFF"/>
        </w:rPr>
        <w:t>202</w:t>
      </w:r>
      <w:r>
        <w:rPr>
          <w:rFonts w:hint="eastAsia" w:ascii="楷体" w:hAnsi="楷体" w:eastAsia="楷体"/>
          <w:sz w:val="24"/>
          <w:szCs w:val="24"/>
          <w:shd w:val="pct10" w:color="auto" w:fill="FFFFFF"/>
          <w:lang w:val="en-US" w:eastAsia="zh-CN"/>
        </w:rPr>
        <w:t>3</w:t>
      </w:r>
      <w:r>
        <w:rPr>
          <w:rFonts w:ascii="楷体" w:hAnsi="楷体" w:eastAsia="楷体"/>
          <w:color w:val="000000"/>
          <w:sz w:val="24"/>
          <w:szCs w:val="24"/>
        </w:rPr>
        <w:t>年</w:t>
      </w:r>
      <w:r>
        <w:rPr>
          <w:rFonts w:hint="eastAsia" w:ascii="楷体" w:hAnsi="楷体" w:eastAsia="楷体"/>
          <w:color w:val="000000"/>
          <w:sz w:val="24"/>
          <w:szCs w:val="24"/>
          <w:shd w:val="clear" w:color="FFFFFF" w:fill="D9D9D9"/>
          <w:lang w:val="en-US" w:eastAsia="zh-CN"/>
        </w:rPr>
        <w:t>11</w:t>
      </w:r>
      <w:r>
        <w:rPr>
          <w:rFonts w:ascii="楷体" w:hAnsi="楷体" w:eastAsia="楷体"/>
          <w:color w:val="000000"/>
          <w:sz w:val="24"/>
          <w:szCs w:val="24"/>
        </w:rPr>
        <w:t>月</w:t>
      </w:r>
      <w:r>
        <w:rPr>
          <w:rFonts w:hint="eastAsia" w:ascii="楷体" w:hAnsi="楷体" w:eastAsia="楷体"/>
          <w:sz w:val="24"/>
          <w:szCs w:val="24"/>
          <w:shd w:val="pct10" w:color="auto" w:fill="FFFFFF"/>
          <w:lang w:val="en-US" w:eastAsia="zh-CN"/>
        </w:rPr>
        <w:t>30</w:t>
      </w:r>
      <w:r>
        <w:rPr>
          <w:rFonts w:ascii="楷体" w:hAnsi="楷体" w:eastAsia="楷体"/>
          <w:color w:val="000000"/>
          <w:sz w:val="24"/>
          <w:szCs w:val="24"/>
        </w:rPr>
        <w:t>日。</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权利转移日：指乙方向甲方依照本合同约定支付完毕全部转让价款及资金占用费（如有）之日。</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交割日：指标的债权文件交接完成之日。</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过渡期：指自基准日（不含本日）起至权利转移日（含本日）止的期间。</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转让价款：指依据本合同的约定，乙方为受让标的债权而应向甲方支付的全部对价。</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交接期：指自权利转移日（不含本日）起至</w:t>
      </w:r>
      <w:r>
        <w:rPr>
          <w:rFonts w:hint="eastAsia" w:ascii="楷体" w:hAnsi="楷体" w:eastAsia="楷体"/>
          <w:color w:val="000000"/>
          <w:sz w:val="24"/>
          <w:szCs w:val="24"/>
          <w:lang w:val="en-US" w:eastAsia="zh-CN"/>
        </w:rPr>
        <w:t>交割日</w:t>
      </w:r>
      <w:r>
        <w:rPr>
          <w:rFonts w:ascii="楷体" w:hAnsi="楷体" w:eastAsia="楷体"/>
          <w:color w:val="000000"/>
          <w:sz w:val="24"/>
          <w:szCs w:val="24"/>
        </w:rPr>
        <w:t>（含本日）止的期间。</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工作日：指除周六、周日和中国的法定节假日之外的任何一天，但包括根据国务院当年节假日放假安排，定为工作日的周六、周日。</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法定期间：指法律、法规规定的各种期间，包括但不限于上诉期、申诉期、申请执行期间、保证期间、破产债权申报期间。</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机构：指法人和依法成立的其他组织的合称。</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法律：指中国任何立法机关、国家机构或监管机构颁布的、适用并约束本合同任何一方的一切法律、法规、规章、规定、条例、指令等规范性文件。</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元：如无特别约定，指中国法定货币人民币元。</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中国：指中华人民共和国（为本合同之目的，不包括香港特别行政区、澳门特别行政区和台湾地区）。</w:t>
      </w:r>
    </w:p>
    <w:p>
      <w:pPr>
        <w:numPr>
          <w:ilvl w:val="0"/>
          <w:numId w:val="2"/>
        </w:numPr>
        <w:spacing w:after="156" w:afterLines="50" w:line="360" w:lineRule="exact"/>
        <w:outlineLvl w:val="0"/>
        <w:rPr>
          <w:rFonts w:ascii="楷体" w:hAnsi="楷体" w:eastAsia="楷体"/>
          <w:b/>
          <w:bCs/>
          <w:color w:val="000000"/>
          <w:sz w:val="24"/>
          <w:szCs w:val="24"/>
        </w:rPr>
      </w:pPr>
      <w:bookmarkStart w:id="5" w:name="_Toc1704"/>
      <w:bookmarkStart w:id="6" w:name="_Toc533512271"/>
      <w:bookmarkStart w:id="7" w:name="_Toc494284904"/>
      <w:bookmarkStart w:id="8" w:name="_Toc494225878"/>
      <w:bookmarkStart w:id="9" w:name="_Toc892"/>
      <w:r>
        <w:rPr>
          <w:rFonts w:ascii="楷体" w:hAnsi="楷体" w:eastAsia="楷体"/>
          <w:b/>
          <w:bCs/>
          <w:color w:val="000000"/>
          <w:sz w:val="24"/>
          <w:szCs w:val="24"/>
        </w:rPr>
        <w:t>风险揭示</w:t>
      </w:r>
      <w:bookmarkEnd w:id="5"/>
      <w:bookmarkEnd w:id="6"/>
      <w:bookmarkEnd w:id="7"/>
      <w:bookmarkEnd w:id="8"/>
      <w:bookmarkEnd w:id="9"/>
    </w:p>
    <w:p>
      <w:pPr>
        <w:numPr>
          <w:ilvl w:val="1"/>
          <w:numId w:val="2"/>
        </w:numPr>
        <w:spacing w:after="156" w:afterLines="50" w:line="360" w:lineRule="exact"/>
        <w:outlineLvl w:val="1"/>
        <w:rPr>
          <w:rFonts w:ascii="楷体" w:hAnsi="楷体" w:eastAsia="楷体"/>
          <w:sz w:val="24"/>
          <w:szCs w:val="24"/>
        </w:rPr>
      </w:pPr>
      <w:r>
        <w:rPr>
          <w:rFonts w:ascii="楷体" w:hAnsi="楷体" w:eastAsia="楷体"/>
          <w:sz w:val="24"/>
          <w:szCs w:val="24"/>
        </w:rPr>
        <w:t>乙方已被告知并完全理解，乙方受让债权后，由于相关法律法规规章  政策限制，导致乙方通过处置最终能够获得的标的债权数额可能小于本合同（含附件）中列明的标的债权数额。</w:t>
      </w:r>
    </w:p>
    <w:p>
      <w:pPr>
        <w:numPr>
          <w:ilvl w:val="1"/>
          <w:numId w:val="2"/>
        </w:numPr>
        <w:spacing w:after="156" w:afterLines="50" w:line="360" w:lineRule="exact"/>
        <w:outlineLvl w:val="1"/>
        <w:rPr>
          <w:rFonts w:ascii="楷体" w:hAnsi="楷体" w:eastAsia="楷体"/>
          <w:sz w:val="24"/>
          <w:szCs w:val="24"/>
        </w:rPr>
      </w:pPr>
      <w:r>
        <w:rPr>
          <w:rFonts w:ascii="楷体" w:hAnsi="楷体" w:eastAsia="楷体"/>
          <w:sz w:val="24"/>
          <w:szCs w:val="24"/>
        </w:rPr>
        <w:t>乙方已被告知并完全理解，乙方受让标的债权后，对该标的债权在基准日以后产生的利息、罚息的请求权，乙方可能无法继续享有。</w:t>
      </w:r>
    </w:p>
    <w:p>
      <w:pPr>
        <w:numPr>
          <w:ilvl w:val="1"/>
          <w:numId w:val="2"/>
        </w:numPr>
        <w:spacing w:after="156" w:afterLines="50" w:line="360" w:lineRule="exact"/>
        <w:outlineLvl w:val="1"/>
        <w:rPr>
          <w:rFonts w:ascii="楷体" w:hAnsi="楷体" w:eastAsia="楷体"/>
          <w:b/>
          <w:bCs/>
          <w:sz w:val="24"/>
          <w:szCs w:val="24"/>
        </w:rPr>
      </w:pPr>
      <w:r>
        <w:rPr>
          <w:rFonts w:ascii="楷体" w:hAnsi="楷体" w:eastAsia="楷体"/>
          <w:sz w:val="24"/>
          <w:szCs w:val="24"/>
        </w:rPr>
        <w:t>乙方已被告知并完全理解标的债权可能存在包括但不限于下列一项或者多项瑕疵或者缺陷，以至于乙方预期利益无法实现：</w:t>
      </w:r>
    </w:p>
    <w:p>
      <w:pPr>
        <w:numPr>
          <w:ilvl w:val="0"/>
          <w:numId w:val="3"/>
        </w:numPr>
        <w:tabs>
          <w:tab w:val="left" w:pos="1418"/>
        </w:tabs>
        <w:spacing w:after="156" w:afterLines="50" w:line="360" w:lineRule="exact"/>
        <w:ind w:left="1418" w:hanging="709"/>
        <w:rPr>
          <w:rFonts w:ascii="楷体" w:hAnsi="楷体" w:eastAsia="楷体"/>
          <w:bCs/>
          <w:sz w:val="24"/>
          <w:szCs w:val="24"/>
        </w:rPr>
      </w:pPr>
      <w:r>
        <w:rPr>
          <w:rFonts w:ascii="楷体" w:hAnsi="楷体" w:eastAsia="楷体"/>
          <w:sz w:val="24"/>
          <w:szCs w:val="24"/>
        </w:rPr>
        <w:t>标的债权文件及其涉及的前手债权人、债务人、共同债务人（如有）、担保人、义务人等陈述与保证可能存在不真实、不准确、不充分的情形，导致标的债权可能不存在、无效、被撤销、已全部/部分履行等风险；</w:t>
      </w:r>
    </w:p>
    <w:p>
      <w:pPr>
        <w:numPr>
          <w:ilvl w:val="0"/>
          <w:numId w:val="3"/>
        </w:numPr>
        <w:tabs>
          <w:tab w:val="left" w:pos="1418"/>
        </w:tabs>
        <w:spacing w:after="156" w:afterLines="50" w:line="360" w:lineRule="exact"/>
        <w:ind w:left="1418" w:hanging="709"/>
        <w:rPr>
          <w:rFonts w:ascii="楷体" w:hAnsi="楷体" w:eastAsia="楷体"/>
          <w:sz w:val="24"/>
          <w:szCs w:val="24"/>
        </w:rPr>
      </w:pPr>
      <w:r>
        <w:rPr>
          <w:rFonts w:ascii="楷体" w:hAnsi="楷体" w:eastAsia="楷体"/>
          <w:sz w:val="24"/>
          <w:szCs w:val="24"/>
        </w:rPr>
        <w:t>与标的债权相关的债务人和/或担保人和/或义务人和/或第三方可能存在破产、被解散/注销/撤销/关闭/吊销、歇业、下落不明，以及其他主体存续性瑕疵的情形；</w:t>
      </w:r>
    </w:p>
    <w:p>
      <w:pPr>
        <w:numPr>
          <w:ilvl w:val="0"/>
          <w:numId w:val="3"/>
        </w:numPr>
        <w:tabs>
          <w:tab w:val="left" w:pos="1418"/>
        </w:tabs>
        <w:spacing w:after="156" w:afterLines="50" w:line="360" w:lineRule="exact"/>
        <w:ind w:left="1418" w:hanging="709"/>
        <w:rPr>
          <w:rFonts w:ascii="楷体" w:hAnsi="楷体" w:eastAsia="楷体"/>
          <w:sz w:val="24"/>
          <w:szCs w:val="24"/>
        </w:rPr>
      </w:pPr>
      <w:r>
        <w:rPr>
          <w:rFonts w:ascii="楷体" w:hAnsi="楷体" w:eastAsia="楷体"/>
          <w:sz w:val="24"/>
          <w:szCs w:val="24"/>
        </w:rPr>
        <w:t>物权担保合同项下的担保物可能存在基于租赁、买卖等合同负有对第三方的义务、其他优先权人、被查封/扣押/没收、短少/不存在/毁损/灭失、欠缴税费、不能实际占有等情形；</w:t>
      </w:r>
    </w:p>
    <w:p>
      <w:pPr>
        <w:numPr>
          <w:ilvl w:val="0"/>
          <w:numId w:val="3"/>
        </w:numPr>
        <w:tabs>
          <w:tab w:val="left" w:pos="1418"/>
        </w:tabs>
        <w:spacing w:after="156" w:afterLines="50" w:line="360" w:lineRule="exact"/>
        <w:ind w:left="1418" w:hanging="709"/>
        <w:rPr>
          <w:rFonts w:ascii="楷体" w:hAnsi="楷体" w:eastAsia="楷体"/>
          <w:sz w:val="24"/>
          <w:szCs w:val="24"/>
        </w:rPr>
      </w:pPr>
      <w:r>
        <w:rPr>
          <w:rFonts w:ascii="楷体" w:hAnsi="楷体" w:eastAsia="楷体"/>
          <w:sz w:val="24"/>
          <w:szCs w:val="24"/>
        </w:rPr>
        <w:t>重组债务、重组补偿金、违约金等标的债权可能存在因已过诉讼时效、保证期间等法定期间丧失、违反法律强制性规定等而部分/全部不被法院或仲裁机构支持或不被法院强制执行的风险；</w:t>
      </w:r>
    </w:p>
    <w:p>
      <w:pPr>
        <w:numPr>
          <w:ilvl w:val="0"/>
          <w:numId w:val="3"/>
        </w:numPr>
        <w:tabs>
          <w:tab w:val="left" w:pos="1418"/>
        </w:tabs>
        <w:spacing w:after="156" w:afterLines="50" w:line="360" w:lineRule="exact"/>
        <w:ind w:left="1418" w:hanging="709"/>
        <w:rPr>
          <w:rFonts w:ascii="楷体" w:hAnsi="楷体" w:eastAsia="楷体"/>
          <w:bCs/>
          <w:sz w:val="24"/>
          <w:szCs w:val="24"/>
        </w:rPr>
      </w:pPr>
      <w:r>
        <w:rPr>
          <w:rFonts w:ascii="楷体" w:hAnsi="楷体" w:eastAsia="楷体"/>
          <w:sz w:val="24"/>
          <w:szCs w:val="24"/>
        </w:rPr>
        <w:t>本次转让的标的债权，由于可能存在的计算误差或其他原因，受让方实际接收的标的债权金额与《标的债权清单》（见附件1）载明的债权金额不完全一致。</w:t>
      </w:r>
    </w:p>
    <w:p>
      <w:pPr>
        <w:numPr>
          <w:ilvl w:val="1"/>
          <w:numId w:val="2"/>
        </w:numPr>
        <w:spacing w:after="156" w:afterLines="50" w:line="360" w:lineRule="exact"/>
        <w:ind w:left="667" w:hanging="667" w:hangingChars="278"/>
        <w:outlineLvl w:val="1"/>
        <w:rPr>
          <w:rFonts w:ascii="楷体" w:hAnsi="楷体" w:eastAsia="楷体"/>
          <w:sz w:val="24"/>
          <w:szCs w:val="24"/>
        </w:rPr>
      </w:pPr>
      <w:r>
        <w:rPr>
          <w:rFonts w:ascii="楷体" w:hAnsi="楷体" w:eastAsia="楷体"/>
          <w:sz w:val="24"/>
          <w:szCs w:val="24"/>
        </w:rPr>
        <w:t>乙方承诺并确认，已被甲方告知、仔细阅读并完全理解本合同及其附件揭示的风险，除本合同另有约定外，自愿承担因标的债权可能存在的瑕疵或者缺陷造成的一切损失以及不能获得相应预期利益的后果，不就标的债权可能存在的任何瑕疵、缺陷向甲方主张包括调减转让价款等任何权利。</w:t>
      </w:r>
    </w:p>
    <w:p>
      <w:pPr>
        <w:numPr>
          <w:ilvl w:val="0"/>
          <w:numId w:val="2"/>
        </w:numPr>
        <w:spacing w:after="156" w:afterLines="50" w:line="360" w:lineRule="exact"/>
        <w:outlineLvl w:val="0"/>
        <w:rPr>
          <w:rFonts w:ascii="楷体" w:hAnsi="楷体" w:eastAsia="楷体"/>
          <w:b/>
          <w:bCs/>
          <w:color w:val="000000"/>
          <w:sz w:val="24"/>
          <w:szCs w:val="24"/>
        </w:rPr>
      </w:pPr>
      <w:bookmarkStart w:id="10" w:name="_Toc494225879"/>
      <w:bookmarkStart w:id="11" w:name="_Toc28127"/>
      <w:bookmarkStart w:id="12" w:name="_Toc533512272"/>
      <w:bookmarkStart w:id="13" w:name="_Toc13990"/>
      <w:bookmarkStart w:id="14" w:name="_Toc494284905"/>
      <w:r>
        <w:rPr>
          <w:rFonts w:ascii="楷体" w:hAnsi="楷体" w:eastAsia="楷体"/>
          <w:b/>
          <w:bCs/>
          <w:color w:val="000000"/>
          <w:sz w:val="24"/>
          <w:szCs w:val="24"/>
        </w:rPr>
        <w:t>标的债权的数额</w:t>
      </w:r>
    </w:p>
    <w:p>
      <w:pPr>
        <w:widowControl/>
        <w:ind w:firstLine="480" w:firstLineChars="200"/>
        <w:rPr>
          <w:rFonts w:hint="eastAsia" w:ascii="楷体" w:hAnsi="楷体" w:eastAsia="楷体"/>
          <w:sz w:val="24"/>
          <w:szCs w:val="24"/>
        </w:rPr>
      </w:pPr>
      <w:r>
        <w:rPr>
          <w:rFonts w:ascii="楷体" w:hAnsi="楷体" w:eastAsia="楷体"/>
          <w:sz w:val="24"/>
          <w:szCs w:val="24"/>
        </w:rPr>
        <w:t>截至基准日，标的债权的账面</w:t>
      </w:r>
      <w:r>
        <w:rPr>
          <w:rFonts w:hint="eastAsia" w:ascii="楷体" w:hAnsi="楷体" w:eastAsia="楷体"/>
          <w:sz w:val="24"/>
          <w:szCs w:val="24"/>
          <w:lang w:val="en-US" w:eastAsia="zh-CN"/>
        </w:rPr>
        <w:t>余</w:t>
      </w:r>
      <w:r>
        <w:rPr>
          <w:rFonts w:ascii="楷体" w:hAnsi="楷体" w:eastAsia="楷体"/>
          <w:sz w:val="24"/>
          <w:szCs w:val="24"/>
        </w:rPr>
        <w:t>额合计为人民币</w:t>
      </w:r>
      <w:r>
        <w:rPr>
          <w:rFonts w:hint="eastAsia" w:ascii="楷体" w:hAnsi="楷体" w:eastAsia="楷体"/>
          <w:sz w:val="24"/>
          <w:szCs w:val="24"/>
          <w:lang w:val="en-US" w:eastAsia="zh-CN"/>
        </w:rPr>
        <w:t xml:space="preserve">                </w:t>
      </w:r>
      <w:r>
        <w:rPr>
          <w:rFonts w:hint="eastAsia" w:ascii="楷体" w:hAnsi="楷体" w:eastAsia="楷体"/>
          <w:sz w:val="24"/>
          <w:szCs w:val="24"/>
        </w:rPr>
        <w:tab/>
      </w:r>
      <w:r>
        <w:rPr>
          <w:rFonts w:hint="eastAsia" w:ascii="楷体" w:hAnsi="楷体" w:eastAsia="楷体"/>
          <w:sz w:val="24"/>
          <w:szCs w:val="24"/>
        </w:rPr>
        <w:t>(小写：￥</w:t>
      </w:r>
      <w:r>
        <w:rPr>
          <w:rFonts w:hint="eastAsia" w:ascii="楷体" w:hAnsi="楷体" w:eastAsia="楷体"/>
          <w:sz w:val="24"/>
          <w:szCs w:val="24"/>
          <w:lang w:val="en-US" w:eastAsia="zh-CN"/>
        </w:rPr>
        <w:t xml:space="preserve">             </w:t>
      </w:r>
      <w:r>
        <w:rPr>
          <w:rFonts w:hint="eastAsia" w:ascii="楷体" w:hAnsi="楷体" w:eastAsia="楷体"/>
          <w:sz w:val="24"/>
          <w:szCs w:val="24"/>
        </w:rPr>
        <w:t>元)，其中:本金余额人民币</w:t>
      </w:r>
      <w:r>
        <w:rPr>
          <w:rFonts w:hint="eastAsia" w:ascii="楷体" w:hAnsi="楷体" w:eastAsia="楷体"/>
          <w:sz w:val="24"/>
          <w:szCs w:val="24"/>
          <w:lang w:val="en-US" w:eastAsia="zh-CN"/>
        </w:rPr>
        <w:t xml:space="preserve">      整</w:t>
      </w:r>
      <w:r>
        <w:rPr>
          <w:rFonts w:hint="eastAsia" w:ascii="楷体" w:hAnsi="楷体" w:eastAsia="楷体"/>
          <w:sz w:val="24"/>
          <w:szCs w:val="24"/>
        </w:rPr>
        <w:t>(小写：￥</w:t>
      </w:r>
      <w:r>
        <w:rPr>
          <w:rFonts w:hint="eastAsia" w:ascii="楷体" w:hAnsi="楷体" w:eastAsia="楷体"/>
          <w:sz w:val="24"/>
          <w:szCs w:val="24"/>
          <w:lang w:val="en-US" w:eastAsia="zh-CN"/>
        </w:rPr>
        <w:t xml:space="preserve">          </w:t>
      </w:r>
      <w:r>
        <w:rPr>
          <w:rFonts w:hint="eastAsia" w:ascii="楷体" w:hAnsi="楷体" w:eastAsia="楷体"/>
          <w:sz w:val="24"/>
          <w:szCs w:val="24"/>
        </w:rPr>
        <w:t>元)，利息余额人民币</w:t>
      </w:r>
      <w:r>
        <w:rPr>
          <w:rFonts w:hint="eastAsia" w:ascii="楷体" w:hAnsi="楷体" w:eastAsia="楷体"/>
          <w:sz w:val="24"/>
          <w:szCs w:val="24"/>
          <w:lang w:val="en-US" w:eastAsia="zh-CN"/>
        </w:rPr>
        <w:t xml:space="preserve">             </w:t>
      </w:r>
      <w:r>
        <w:rPr>
          <w:rFonts w:hint="eastAsia" w:ascii="楷体" w:hAnsi="楷体" w:eastAsia="楷体"/>
          <w:sz w:val="24"/>
          <w:szCs w:val="24"/>
        </w:rPr>
        <w:t>(小写：￥</w:t>
      </w:r>
      <w:r>
        <w:rPr>
          <w:rFonts w:hint="eastAsia" w:ascii="楷体" w:hAnsi="楷体" w:eastAsia="楷体"/>
          <w:sz w:val="24"/>
          <w:szCs w:val="24"/>
          <w:lang w:val="en-US" w:eastAsia="zh-CN"/>
        </w:rPr>
        <w:t xml:space="preserve">            </w:t>
      </w:r>
      <w:r>
        <w:rPr>
          <w:rFonts w:hint="eastAsia" w:ascii="楷体" w:hAnsi="楷体" w:eastAsia="楷体"/>
          <w:sz w:val="24"/>
          <w:szCs w:val="24"/>
        </w:rPr>
        <w:t>元)</w:t>
      </w:r>
      <w:r>
        <w:rPr>
          <w:rFonts w:hint="eastAsia" w:ascii="楷体" w:hAnsi="楷体" w:eastAsia="楷体"/>
          <w:sz w:val="24"/>
          <w:szCs w:val="24"/>
          <w:lang w:eastAsia="zh-CN"/>
        </w:rPr>
        <w:t>，</w:t>
      </w:r>
      <w:r>
        <w:rPr>
          <w:rFonts w:hint="eastAsia" w:ascii="楷体" w:hAnsi="楷体" w:eastAsia="楷体"/>
          <w:sz w:val="24"/>
          <w:szCs w:val="24"/>
          <w:lang w:val="en-US" w:eastAsia="zh-CN"/>
        </w:rPr>
        <w:t>代垫费用       （小写：</w:t>
      </w:r>
      <w:r>
        <w:rPr>
          <w:rFonts w:hint="eastAsia" w:ascii="楷体" w:hAnsi="楷体" w:eastAsia="楷体"/>
          <w:sz w:val="24"/>
          <w:szCs w:val="24"/>
        </w:rPr>
        <w:t>￥</w:t>
      </w:r>
      <w:r>
        <w:rPr>
          <w:rFonts w:hint="eastAsia" w:ascii="楷体" w:hAnsi="楷体" w:eastAsia="楷体"/>
          <w:sz w:val="24"/>
          <w:szCs w:val="24"/>
          <w:lang w:val="en-US" w:eastAsia="zh-CN"/>
        </w:rPr>
        <w:t xml:space="preserve">         </w:t>
      </w:r>
      <w:r>
        <w:rPr>
          <w:rFonts w:hint="eastAsia" w:ascii="楷体" w:hAnsi="楷体" w:eastAsia="楷体"/>
          <w:sz w:val="24"/>
          <w:szCs w:val="24"/>
        </w:rPr>
        <w:t>元</w:t>
      </w:r>
      <w:r>
        <w:rPr>
          <w:rFonts w:hint="eastAsia" w:ascii="楷体" w:hAnsi="楷体" w:eastAsia="楷体"/>
          <w:sz w:val="24"/>
          <w:szCs w:val="24"/>
          <w:lang w:val="en-US" w:eastAsia="zh-CN"/>
        </w:rPr>
        <w:t>）</w:t>
      </w:r>
      <w:r>
        <w:rPr>
          <w:rFonts w:hint="eastAsia" w:ascii="楷体" w:hAnsi="楷体" w:eastAsia="楷体"/>
          <w:sz w:val="24"/>
          <w:szCs w:val="24"/>
        </w:rPr>
        <w:t>。标的债权的账面余额详见本合同</w:t>
      </w:r>
      <w:r>
        <w:rPr>
          <w:rFonts w:hint="eastAsia" w:ascii="楷体" w:hAnsi="楷体" w:eastAsia="楷体"/>
          <w:sz w:val="24"/>
          <w:szCs w:val="24"/>
          <w:lang w:val="en-US" w:eastAsia="zh-CN"/>
        </w:rPr>
        <w:t>附件</w:t>
      </w:r>
      <w:r>
        <w:rPr>
          <w:rFonts w:hint="eastAsia" w:ascii="楷体" w:hAnsi="楷体" w:eastAsia="楷体"/>
          <w:sz w:val="24"/>
          <w:szCs w:val="24"/>
        </w:rPr>
        <w:t>1。</w:t>
      </w:r>
    </w:p>
    <w:p>
      <w:pPr>
        <w:numPr>
          <w:ilvl w:val="0"/>
          <w:numId w:val="2"/>
        </w:numPr>
        <w:spacing w:before="157" w:beforeLines="50" w:after="157" w:afterLines="50" w:line="360" w:lineRule="exact"/>
        <w:outlineLvl w:val="0"/>
        <w:rPr>
          <w:rFonts w:ascii="楷体" w:hAnsi="楷体" w:eastAsia="楷体"/>
          <w:b/>
          <w:bCs/>
          <w:color w:val="000000"/>
          <w:sz w:val="24"/>
          <w:szCs w:val="24"/>
          <w:highlight w:val="none"/>
        </w:rPr>
      </w:pPr>
      <w:r>
        <w:rPr>
          <w:rFonts w:ascii="楷体" w:hAnsi="楷体" w:eastAsia="楷体"/>
          <w:b/>
          <w:bCs/>
          <w:color w:val="000000"/>
          <w:sz w:val="24"/>
          <w:szCs w:val="24"/>
          <w:highlight w:val="none"/>
        </w:rPr>
        <w:t>转让价款及支付方式</w:t>
      </w:r>
      <w:bookmarkEnd w:id="10"/>
      <w:bookmarkEnd w:id="11"/>
      <w:bookmarkEnd w:id="12"/>
      <w:bookmarkEnd w:id="13"/>
      <w:bookmarkEnd w:id="14"/>
    </w:p>
    <w:p>
      <w:pPr>
        <w:numPr>
          <w:ilvl w:val="1"/>
          <w:numId w:val="2"/>
        </w:numPr>
        <w:spacing w:after="156" w:afterLines="50" w:line="360" w:lineRule="exact"/>
        <w:outlineLvl w:val="1"/>
        <w:rPr>
          <w:rFonts w:ascii="楷体" w:hAnsi="楷体" w:eastAsia="楷体"/>
          <w:color w:val="000000"/>
          <w:sz w:val="24"/>
          <w:szCs w:val="24"/>
          <w:highlight w:val="none"/>
        </w:rPr>
      </w:pPr>
      <w:r>
        <w:rPr>
          <w:rFonts w:ascii="楷体" w:hAnsi="楷体" w:eastAsia="楷体"/>
          <w:color w:val="000000"/>
          <w:sz w:val="24"/>
          <w:szCs w:val="24"/>
          <w:highlight w:val="none"/>
        </w:rPr>
        <w:t>本合同项下债权资产的转让价款为人民币</w:t>
      </w:r>
      <w:r>
        <w:rPr>
          <w:rFonts w:hint="eastAsia" w:ascii="楷体" w:hAnsi="楷体" w:eastAsia="楷体"/>
          <w:color w:val="000000"/>
          <w:sz w:val="24"/>
          <w:szCs w:val="24"/>
          <w:highlight w:val="none"/>
          <w:lang w:val="en-US" w:eastAsia="zh-CN"/>
        </w:rPr>
        <w:t xml:space="preserve">        </w:t>
      </w:r>
      <w:r>
        <w:rPr>
          <w:rFonts w:ascii="楷体" w:hAnsi="楷体" w:eastAsia="楷体"/>
          <w:color w:val="000000"/>
          <w:sz w:val="24"/>
          <w:szCs w:val="24"/>
          <w:highlight w:val="none"/>
        </w:rPr>
        <w:t>（小写：￥</w:t>
      </w:r>
      <w:r>
        <w:rPr>
          <w:rFonts w:hint="eastAsia" w:ascii="楷体" w:hAnsi="楷体" w:eastAsia="楷体"/>
          <w:color w:val="000000"/>
          <w:sz w:val="24"/>
          <w:szCs w:val="24"/>
          <w:highlight w:val="none"/>
          <w:lang w:val="en-US" w:eastAsia="zh-CN"/>
        </w:rPr>
        <w:t xml:space="preserve">           </w:t>
      </w:r>
      <w:r>
        <w:rPr>
          <w:rFonts w:ascii="楷体" w:hAnsi="楷体" w:eastAsia="楷体"/>
          <w:color w:val="000000"/>
          <w:sz w:val="24"/>
          <w:szCs w:val="24"/>
          <w:highlight w:val="none"/>
        </w:rPr>
        <w:t>元）。</w:t>
      </w:r>
    </w:p>
    <w:p>
      <w:pPr>
        <w:numPr>
          <w:ilvl w:val="1"/>
          <w:numId w:val="2"/>
        </w:numPr>
        <w:spacing w:after="312" w:afterLines="100" w:line="300" w:lineRule="auto"/>
        <w:rPr>
          <w:rFonts w:ascii="楷体" w:hAnsi="楷体" w:eastAsia="楷体"/>
          <w:color w:val="000000"/>
          <w:sz w:val="24"/>
          <w:szCs w:val="24"/>
        </w:rPr>
      </w:pPr>
      <w:r>
        <w:rPr>
          <w:rFonts w:ascii="楷体" w:hAnsi="楷体" w:eastAsia="楷体"/>
          <w:color w:val="000000"/>
          <w:sz w:val="24"/>
          <w:szCs w:val="24"/>
        </w:rPr>
        <w:t>付款方式按照如下第4.2.</w:t>
      </w:r>
      <w:r>
        <w:rPr>
          <w:rFonts w:hint="eastAsia" w:ascii="楷体" w:hAnsi="楷体" w:eastAsia="楷体"/>
          <w:color w:val="000000"/>
          <w:sz w:val="24"/>
          <w:szCs w:val="24"/>
          <w:lang w:eastAsia="zh-CN"/>
        </w:rPr>
        <w:t>【】</w:t>
      </w:r>
      <w:r>
        <w:rPr>
          <w:rFonts w:ascii="楷体" w:hAnsi="楷体" w:eastAsia="楷体"/>
          <w:color w:val="000000"/>
          <w:sz w:val="24"/>
          <w:szCs w:val="24"/>
        </w:rPr>
        <w:t>条约定进行：</w:t>
      </w:r>
    </w:p>
    <w:p>
      <w:pPr>
        <w:numPr>
          <w:ilvl w:val="0"/>
          <w:numId w:val="4"/>
        </w:numPr>
        <w:tabs>
          <w:tab w:val="left" w:pos="1418"/>
        </w:tabs>
        <w:spacing w:after="156" w:afterLines="50" w:line="360" w:lineRule="exact"/>
        <w:ind w:left="1418" w:hanging="709"/>
        <w:rPr>
          <w:rFonts w:ascii="楷体" w:hAnsi="楷体" w:eastAsia="楷体"/>
          <w:color w:val="000000"/>
          <w:sz w:val="24"/>
          <w:szCs w:val="24"/>
        </w:rPr>
      </w:pPr>
      <w:r>
        <w:rPr>
          <w:rFonts w:ascii="楷体" w:hAnsi="楷体" w:eastAsia="楷体"/>
          <w:color w:val="000000"/>
          <w:sz w:val="24"/>
          <w:szCs w:val="24"/>
        </w:rPr>
        <w:t>一次性付款：</w:t>
      </w:r>
      <w:r>
        <w:rPr>
          <w:rFonts w:hint="eastAsia" w:ascii="楷体" w:hAnsi="楷体" w:eastAsia="楷体"/>
          <w:color w:val="000000"/>
          <w:sz w:val="24"/>
          <w:szCs w:val="24"/>
        </w:rPr>
        <w:t>买受人应在拍卖成交后五个工作日内与我</w:t>
      </w:r>
      <w:r>
        <w:rPr>
          <w:rFonts w:hint="eastAsia" w:ascii="楷体" w:hAnsi="楷体" w:eastAsia="楷体"/>
          <w:color w:val="000000"/>
          <w:sz w:val="24"/>
          <w:szCs w:val="24"/>
          <w:lang w:val="en-US" w:eastAsia="zh-CN"/>
        </w:rPr>
        <w:t>公</w:t>
      </w:r>
      <w:r>
        <w:rPr>
          <w:rFonts w:hint="eastAsia" w:ascii="楷体" w:hAnsi="楷体" w:eastAsia="楷体"/>
          <w:color w:val="000000"/>
          <w:sz w:val="24"/>
          <w:szCs w:val="24"/>
        </w:rPr>
        <w:t>司签订《债权转让协议》，签订《债权转让协议》后十五个工作日内缴纳完全部实际成交价款，乙方已支付的</w:t>
      </w:r>
      <w:r>
        <w:rPr>
          <w:rFonts w:hint="eastAsia" w:ascii="楷体" w:hAnsi="楷体" w:eastAsia="楷体"/>
          <w:color w:val="000000"/>
          <w:sz w:val="24"/>
          <w:szCs w:val="24"/>
          <w:lang w:val="en-US" w:eastAsia="zh-CN"/>
        </w:rPr>
        <w:t>保证金可抵扣转让</w:t>
      </w:r>
      <w:r>
        <w:rPr>
          <w:rFonts w:hint="eastAsia" w:ascii="楷体" w:hAnsi="楷体" w:eastAsia="楷体"/>
          <w:color w:val="000000"/>
          <w:sz w:val="24"/>
          <w:szCs w:val="24"/>
        </w:rPr>
        <w:t>价款。</w:t>
      </w:r>
    </w:p>
    <w:p>
      <w:pPr>
        <w:numPr>
          <w:ilvl w:val="0"/>
          <w:numId w:val="4"/>
        </w:numPr>
        <w:tabs>
          <w:tab w:val="left" w:pos="1418"/>
        </w:tabs>
        <w:spacing w:after="156" w:afterLines="50" w:line="360" w:lineRule="exact"/>
        <w:ind w:left="1418" w:hanging="709"/>
        <w:rPr>
          <w:rFonts w:ascii="楷体" w:hAnsi="楷体" w:eastAsia="楷体"/>
          <w:color w:val="000000"/>
          <w:sz w:val="24"/>
          <w:szCs w:val="24"/>
        </w:rPr>
      </w:pPr>
      <w:r>
        <w:rPr>
          <w:rFonts w:ascii="楷体" w:hAnsi="楷体" w:eastAsia="楷体"/>
          <w:color w:val="000000"/>
          <w:sz w:val="24"/>
          <w:szCs w:val="24"/>
        </w:rPr>
        <w:t>分期付款：第一期款项人民币</w:t>
      </w:r>
      <w:r>
        <w:rPr>
          <w:rFonts w:ascii="楷体" w:hAnsi="楷体" w:eastAsia="楷体"/>
          <w:sz w:val="24"/>
          <w:szCs w:val="24"/>
          <w:shd w:val="pct10" w:color="auto" w:fill="FFFFFF"/>
        </w:rPr>
        <w:t xml:space="preserve">              </w:t>
      </w:r>
      <w:r>
        <w:rPr>
          <w:rFonts w:ascii="楷体" w:hAnsi="楷体" w:eastAsia="楷体"/>
          <w:b/>
          <w:bCs/>
          <w:color w:val="000000"/>
          <w:sz w:val="24"/>
          <w:szCs w:val="24"/>
        </w:rPr>
        <w:t>(小写：￥</w:t>
      </w:r>
      <w:r>
        <w:rPr>
          <w:rFonts w:ascii="楷体" w:hAnsi="楷体" w:eastAsia="楷体"/>
          <w:sz w:val="24"/>
          <w:szCs w:val="24"/>
          <w:shd w:val="pct10" w:color="auto" w:fill="FFFFFF"/>
        </w:rPr>
        <w:t xml:space="preserve">                </w:t>
      </w:r>
      <w:r>
        <w:rPr>
          <w:rFonts w:ascii="楷体" w:hAnsi="楷体" w:eastAsia="楷体"/>
          <w:b/>
          <w:bCs/>
          <w:color w:val="000000"/>
          <w:sz w:val="24"/>
          <w:szCs w:val="24"/>
        </w:rPr>
        <w:t>元)</w:t>
      </w:r>
      <w:r>
        <w:rPr>
          <w:rFonts w:ascii="楷体" w:hAnsi="楷体" w:eastAsia="楷体"/>
          <w:color w:val="000000"/>
          <w:sz w:val="24"/>
          <w:szCs w:val="24"/>
        </w:rPr>
        <w:t>，自本合同生效起</w:t>
      </w:r>
      <w:r>
        <w:rPr>
          <w:rFonts w:ascii="楷体" w:hAnsi="楷体" w:eastAsia="楷体"/>
          <w:sz w:val="24"/>
          <w:szCs w:val="24"/>
          <w:shd w:val="pct10" w:color="auto" w:fill="FFFFFF"/>
        </w:rPr>
        <w:t xml:space="preserve">   </w:t>
      </w:r>
      <w:r>
        <w:rPr>
          <w:rFonts w:ascii="楷体" w:hAnsi="楷体" w:eastAsia="楷体"/>
          <w:color w:val="000000"/>
          <w:sz w:val="24"/>
          <w:szCs w:val="24"/>
        </w:rPr>
        <w:t>个工作日内支付；剩余款项具体付款方式为</w:t>
      </w:r>
      <w:r>
        <w:rPr>
          <w:rFonts w:ascii="楷体" w:hAnsi="楷体" w:eastAsia="楷体"/>
          <w:sz w:val="24"/>
          <w:szCs w:val="24"/>
          <w:shd w:val="pct10" w:color="auto" w:fill="FFFFFF"/>
        </w:rPr>
        <w:t xml:space="preserve">                           </w:t>
      </w:r>
      <w:r>
        <w:rPr>
          <w:rFonts w:ascii="楷体" w:hAnsi="楷体" w:eastAsia="楷体"/>
          <w:color w:val="000000"/>
          <w:sz w:val="24"/>
          <w:szCs w:val="24"/>
        </w:rPr>
        <w:t>，剩余款项乙方须按照年化</w:t>
      </w:r>
      <w:r>
        <w:rPr>
          <w:rFonts w:ascii="楷体" w:hAnsi="楷体" w:eastAsia="楷体"/>
          <w:sz w:val="24"/>
          <w:szCs w:val="24"/>
          <w:shd w:val="pct10" w:color="auto" w:fill="FFFFFF"/>
        </w:rPr>
        <w:t xml:space="preserve">    </w:t>
      </w:r>
      <w:r>
        <w:rPr>
          <w:rFonts w:ascii="楷体" w:hAnsi="楷体" w:eastAsia="楷体"/>
          <w:color w:val="000000"/>
          <w:sz w:val="24"/>
          <w:szCs w:val="24"/>
        </w:rPr>
        <w:t>%标准，以上述剩余款项占用天数向甲方支付资金占用费。剩余款项占用天数即自第一期款项应付之日（含本日）至剩余款项实际支付之日（不含本日）之间的天数，如剩余款项分期支付，则占用天数分段计算。</w:t>
      </w:r>
    </w:p>
    <w:p>
      <w:pPr>
        <w:numPr>
          <w:ilvl w:val="1"/>
          <w:numId w:val="2"/>
        </w:numPr>
        <w:spacing w:after="156" w:afterLines="50" w:line="360" w:lineRule="exact"/>
        <w:rPr>
          <w:rFonts w:ascii="楷体" w:hAnsi="楷体" w:eastAsia="楷体"/>
          <w:color w:val="000000"/>
          <w:sz w:val="24"/>
          <w:szCs w:val="24"/>
        </w:rPr>
      </w:pPr>
      <w:r>
        <w:rPr>
          <w:rFonts w:ascii="楷体" w:hAnsi="楷体" w:eastAsia="楷体"/>
          <w:color w:val="000000"/>
          <w:sz w:val="24"/>
          <w:szCs w:val="24"/>
        </w:rPr>
        <w:t>甲方指定收款账户为:</w:t>
      </w:r>
    </w:p>
    <w:p>
      <w:pPr>
        <w:spacing w:after="156" w:afterLines="50" w:line="360" w:lineRule="exact"/>
        <w:ind w:left="289" w:firstLine="420"/>
        <w:rPr>
          <w:rFonts w:ascii="楷体" w:hAnsi="楷体" w:eastAsia="楷体"/>
          <w:color w:val="000000"/>
          <w:sz w:val="24"/>
          <w:szCs w:val="24"/>
        </w:rPr>
      </w:pPr>
      <w:bookmarkStart w:id="15" w:name="_Toc494284906"/>
      <w:bookmarkStart w:id="16" w:name="_Toc533512273"/>
      <w:bookmarkStart w:id="17" w:name="_Toc494225880"/>
      <w:bookmarkStart w:id="18" w:name="_Toc11529"/>
      <w:bookmarkStart w:id="19" w:name="_Toc24049"/>
      <w:r>
        <w:rPr>
          <w:rFonts w:ascii="楷体" w:hAnsi="楷体" w:eastAsia="楷体"/>
          <w:color w:val="000000"/>
          <w:sz w:val="24"/>
          <w:szCs w:val="24"/>
        </w:rPr>
        <w:t>户  名：</w:t>
      </w:r>
      <w:r>
        <w:rPr>
          <w:rFonts w:hint="eastAsia" w:ascii="楷体" w:hAnsi="楷体" w:eastAsia="楷体"/>
          <w:color w:val="000000"/>
          <w:sz w:val="24"/>
          <w:szCs w:val="24"/>
        </w:rPr>
        <w:t>深圳市招平申城</w:t>
      </w:r>
      <w:r>
        <w:rPr>
          <w:rFonts w:hint="eastAsia" w:ascii="楷体" w:hAnsi="楷体" w:eastAsia="楷体"/>
          <w:color w:val="000000"/>
          <w:sz w:val="24"/>
          <w:szCs w:val="24"/>
          <w:lang w:val="en-US" w:eastAsia="zh-CN"/>
        </w:rPr>
        <w:t>五</w:t>
      </w:r>
      <w:r>
        <w:rPr>
          <w:rFonts w:hint="eastAsia" w:ascii="楷体" w:hAnsi="楷体" w:eastAsia="楷体"/>
          <w:color w:val="000000"/>
          <w:sz w:val="24"/>
          <w:szCs w:val="24"/>
        </w:rPr>
        <w:t>号投资中心（有限合伙）</w:t>
      </w:r>
    </w:p>
    <w:p>
      <w:pPr>
        <w:spacing w:after="156" w:afterLines="50" w:line="360" w:lineRule="exact"/>
        <w:ind w:left="289" w:firstLine="420"/>
        <w:rPr>
          <w:rFonts w:ascii="楷体" w:hAnsi="楷体" w:eastAsia="楷体"/>
          <w:color w:val="000000"/>
          <w:sz w:val="24"/>
          <w:szCs w:val="24"/>
        </w:rPr>
      </w:pPr>
      <w:r>
        <w:rPr>
          <w:rFonts w:ascii="楷体" w:hAnsi="楷体" w:eastAsia="楷体"/>
          <w:color w:val="000000"/>
          <w:sz w:val="24"/>
          <w:szCs w:val="24"/>
        </w:rPr>
        <w:t>开户行：</w:t>
      </w:r>
      <w:r>
        <w:rPr>
          <w:rFonts w:hint="eastAsia" w:ascii="楷体" w:hAnsi="楷体" w:eastAsia="楷体"/>
          <w:color w:val="000000"/>
          <w:sz w:val="24"/>
          <w:szCs w:val="24"/>
        </w:rPr>
        <w:t>招商银行深圳新时代支行</w:t>
      </w:r>
    </w:p>
    <w:p>
      <w:pPr>
        <w:spacing w:after="156" w:afterLines="50" w:line="360" w:lineRule="exact"/>
        <w:ind w:left="289" w:firstLine="420"/>
        <w:rPr>
          <w:rFonts w:hint="default" w:ascii="楷体" w:hAnsi="楷体" w:eastAsia="楷体"/>
          <w:color w:val="000000"/>
          <w:sz w:val="24"/>
          <w:szCs w:val="24"/>
          <w:lang w:val="en-US" w:eastAsia="zh-CN"/>
        </w:rPr>
      </w:pPr>
      <w:r>
        <w:rPr>
          <w:rFonts w:ascii="楷体" w:hAnsi="楷体" w:eastAsia="楷体"/>
          <w:color w:val="000000"/>
          <w:sz w:val="24"/>
          <w:szCs w:val="24"/>
        </w:rPr>
        <w:t>账  号：</w:t>
      </w:r>
      <w:r>
        <w:rPr>
          <w:rFonts w:hint="eastAsia" w:ascii="楷体" w:hAnsi="楷体" w:eastAsia="楷体"/>
          <w:color w:val="000000"/>
          <w:sz w:val="24"/>
          <w:szCs w:val="24"/>
        </w:rPr>
        <w:t>755952795310301</w:t>
      </w:r>
    </w:p>
    <w:p>
      <w:pPr>
        <w:numPr>
          <w:ilvl w:val="0"/>
          <w:numId w:val="2"/>
        </w:numPr>
        <w:spacing w:after="156" w:afterLines="50" w:line="360" w:lineRule="exact"/>
        <w:outlineLvl w:val="0"/>
        <w:rPr>
          <w:rFonts w:ascii="楷体" w:hAnsi="楷体" w:eastAsia="楷体"/>
          <w:b/>
          <w:bCs/>
          <w:color w:val="000000"/>
          <w:sz w:val="24"/>
          <w:szCs w:val="24"/>
        </w:rPr>
      </w:pPr>
      <w:r>
        <w:rPr>
          <w:rFonts w:ascii="楷体" w:hAnsi="楷体" w:eastAsia="楷体"/>
          <w:b/>
          <w:bCs/>
          <w:color w:val="000000"/>
          <w:sz w:val="24"/>
          <w:szCs w:val="24"/>
        </w:rPr>
        <w:t>标的债权的转移、交付与公告</w:t>
      </w:r>
      <w:bookmarkEnd w:id="15"/>
      <w:bookmarkEnd w:id="16"/>
      <w:bookmarkEnd w:id="17"/>
      <w:bookmarkEnd w:id="18"/>
      <w:bookmarkEnd w:id="19"/>
    </w:p>
    <w:p>
      <w:pPr>
        <w:numPr>
          <w:ilvl w:val="1"/>
          <w:numId w:val="2"/>
        </w:numPr>
        <w:spacing w:after="156" w:afterLines="50" w:line="360" w:lineRule="exact"/>
        <w:outlineLvl w:val="1"/>
        <w:rPr>
          <w:rFonts w:ascii="楷体" w:hAnsi="楷体" w:eastAsia="楷体"/>
          <w:color w:val="000000"/>
          <w:sz w:val="24"/>
          <w:szCs w:val="24"/>
        </w:rPr>
      </w:pPr>
      <w:bookmarkStart w:id="20" w:name="_Ref469149916"/>
      <w:r>
        <w:rPr>
          <w:rFonts w:ascii="楷体" w:hAnsi="楷体" w:eastAsia="楷体"/>
          <w:color w:val="000000"/>
          <w:sz w:val="24"/>
          <w:szCs w:val="24"/>
        </w:rPr>
        <w:t>标的债权的转移</w:t>
      </w:r>
    </w:p>
    <w:p>
      <w:pPr>
        <w:numPr>
          <w:ilvl w:val="0"/>
          <w:numId w:val="5"/>
        </w:numPr>
        <w:tabs>
          <w:tab w:val="left" w:pos="1418"/>
        </w:tabs>
        <w:spacing w:after="156" w:afterLines="50" w:line="360" w:lineRule="exact"/>
        <w:ind w:left="1418" w:hanging="709"/>
        <w:outlineLvl w:val="1"/>
        <w:rPr>
          <w:rFonts w:ascii="楷体" w:hAnsi="楷体" w:eastAsia="楷体"/>
          <w:color w:val="000000"/>
          <w:sz w:val="24"/>
          <w:szCs w:val="24"/>
        </w:rPr>
      </w:pPr>
      <w:r>
        <w:rPr>
          <w:rFonts w:ascii="楷体" w:hAnsi="楷体" w:eastAsia="楷体"/>
          <w:color w:val="000000"/>
          <w:sz w:val="24"/>
          <w:szCs w:val="24"/>
        </w:rPr>
        <w:t>双方确认，在乙方支付完毕全部转让价款及资金占用费（如有）之日，标的债权从甲方转移至乙方。</w:t>
      </w:r>
    </w:p>
    <w:p>
      <w:pPr>
        <w:numPr>
          <w:ilvl w:val="0"/>
          <w:numId w:val="5"/>
        </w:numPr>
        <w:tabs>
          <w:tab w:val="left" w:pos="1418"/>
        </w:tabs>
        <w:spacing w:after="156" w:afterLines="50" w:line="360" w:lineRule="exact"/>
        <w:ind w:left="1418" w:hanging="709"/>
        <w:outlineLvl w:val="1"/>
        <w:rPr>
          <w:rFonts w:ascii="楷体" w:hAnsi="楷体" w:eastAsia="楷体"/>
          <w:color w:val="000000"/>
          <w:sz w:val="24"/>
          <w:szCs w:val="24"/>
        </w:rPr>
      </w:pPr>
      <w:r>
        <w:rPr>
          <w:rFonts w:ascii="楷体" w:hAnsi="楷体" w:eastAsia="楷体"/>
          <w:color w:val="000000"/>
          <w:sz w:val="24"/>
          <w:szCs w:val="24"/>
        </w:rPr>
        <w:t>双方确认，在权利转移日前，标的债权仍归甲方所有，甲方按照本合同的约定对标的债权进行管理。</w:t>
      </w:r>
    </w:p>
    <w:p>
      <w:pPr>
        <w:numPr>
          <w:ilvl w:val="0"/>
          <w:numId w:val="5"/>
        </w:numPr>
        <w:tabs>
          <w:tab w:val="left" w:pos="1418"/>
        </w:tabs>
        <w:spacing w:after="156" w:afterLines="50" w:line="360" w:lineRule="exact"/>
        <w:ind w:left="1418" w:hanging="709"/>
        <w:outlineLvl w:val="1"/>
        <w:rPr>
          <w:rFonts w:ascii="楷体" w:hAnsi="楷体" w:eastAsia="楷体"/>
          <w:color w:val="000000"/>
          <w:sz w:val="24"/>
          <w:szCs w:val="24"/>
        </w:rPr>
      </w:pPr>
      <w:r>
        <w:rPr>
          <w:rFonts w:ascii="楷体" w:hAnsi="楷体" w:eastAsia="楷体"/>
          <w:color w:val="000000"/>
          <w:sz w:val="24"/>
          <w:szCs w:val="24"/>
        </w:rPr>
        <w:t>双方确认，在权利转移日后，标的债权归乙方所有。法律法规规定需要办理相关手续的，由乙方负责办理，甲方予以积极配合，费用由乙方承担。</w:t>
      </w:r>
    </w:p>
    <w:p>
      <w:pPr>
        <w:numPr>
          <w:ilvl w:val="0"/>
          <w:numId w:val="5"/>
        </w:numPr>
        <w:tabs>
          <w:tab w:val="left" w:pos="1418"/>
        </w:tabs>
        <w:spacing w:after="156" w:afterLines="50" w:line="360" w:lineRule="exact"/>
        <w:ind w:left="1418" w:hanging="709"/>
        <w:outlineLvl w:val="1"/>
        <w:rPr>
          <w:rFonts w:ascii="楷体" w:hAnsi="楷体" w:eastAsia="楷体"/>
          <w:color w:val="000000"/>
          <w:sz w:val="24"/>
          <w:szCs w:val="24"/>
        </w:rPr>
      </w:pPr>
      <w:r>
        <w:rPr>
          <w:rFonts w:ascii="楷体" w:hAnsi="楷体" w:eastAsia="楷体"/>
          <w:color w:val="000000"/>
          <w:sz w:val="24"/>
          <w:szCs w:val="24"/>
        </w:rPr>
        <w:t>在乙方支付完毕全部转让价款及资金占用费（如有）的前提下，甲方在过渡期和交接期因管理标的债权所产生的收益（包括现金、抵债资产等），由乙方享有。</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文件的交付</w:t>
      </w:r>
      <w:bookmarkEnd w:id="20"/>
    </w:p>
    <w:p>
      <w:pPr>
        <w:numPr>
          <w:ilvl w:val="0"/>
          <w:numId w:val="6"/>
        </w:numPr>
        <w:tabs>
          <w:tab w:val="left" w:pos="1418"/>
        </w:tabs>
        <w:spacing w:after="156" w:afterLines="50" w:line="360" w:lineRule="exact"/>
        <w:ind w:left="1418" w:hanging="709"/>
        <w:rPr>
          <w:rFonts w:ascii="楷体" w:hAnsi="楷体" w:eastAsia="楷体"/>
          <w:color w:val="000000"/>
          <w:sz w:val="24"/>
          <w:szCs w:val="24"/>
        </w:rPr>
      </w:pPr>
      <w:bookmarkStart w:id="21" w:name="_Ref469178371"/>
      <w:r>
        <w:rPr>
          <w:rFonts w:ascii="楷体" w:hAnsi="楷体" w:eastAsia="楷体"/>
          <w:color w:val="000000"/>
          <w:sz w:val="24"/>
          <w:szCs w:val="24"/>
        </w:rPr>
        <w:t>在交接期内，甲方应将标的债权文件交付给乙方，乙方应签署《债权文件收据》。如乙方不及时受领标的债权文件，则应承担迟延受领标的债权文件所产生的一切法律后果。在交接期后，乙方无权就标的债权文件及其交付范围向甲方提出任何主张。标的债权文件交接完成之日为交割日。</w:t>
      </w:r>
    </w:p>
    <w:bookmarkEnd w:id="21"/>
    <w:p>
      <w:pPr>
        <w:numPr>
          <w:ilvl w:val="0"/>
          <w:numId w:val="6"/>
        </w:numPr>
        <w:tabs>
          <w:tab w:val="left" w:pos="1418"/>
        </w:tabs>
        <w:spacing w:after="156" w:afterLines="50" w:line="360" w:lineRule="exact"/>
        <w:ind w:left="1418" w:hanging="709"/>
        <w:rPr>
          <w:rFonts w:ascii="楷体" w:hAnsi="楷体" w:eastAsia="楷体"/>
          <w:color w:val="000000"/>
          <w:sz w:val="24"/>
          <w:szCs w:val="24"/>
        </w:rPr>
      </w:pPr>
      <w:r>
        <w:rPr>
          <w:rFonts w:ascii="楷体" w:hAnsi="楷体" w:eastAsia="楷体"/>
          <w:color w:val="000000"/>
          <w:sz w:val="24"/>
          <w:szCs w:val="24"/>
        </w:rPr>
        <w:t>甲方同意在</w:t>
      </w:r>
      <w:r>
        <w:rPr>
          <w:rFonts w:hint="eastAsia" w:ascii="楷体" w:hAnsi="楷体" w:eastAsia="楷体"/>
          <w:color w:val="000000"/>
          <w:sz w:val="24"/>
          <w:szCs w:val="24"/>
          <w:lang w:val="en-US" w:eastAsia="zh-CN"/>
        </w:rPr>
        <w:t>交割</w:t>
      </w:r>
      <w:r>
        <w:rPr>
          <w:rFonts w:ascii="楷体" w:hAnsi="楷体" w:eastAsia="楷体"/>
          <w:color w:val="000000"/>
          <w:sz w:val="24"/>
          <w:szCs w:val="24"/>
        </w:rPr>
        <w:t>日后60日内，将过渡期和交接期内甲方因管理标的债权而获得的现金（如有，包括法院及仲裁机构退回给甲方及其前手的诉讼费、受理费等相关费用），在扣除本合同第6.3条约定费用后，支付给乙方。</w:t>
      </w:r>
    </w:p>
    <w:p>
      <w:pPr>
        <w:numPr>
          <w:ilvl w:val="1"/>
          <w:numId w:val="2"/>
        </w:numPr>
        <w:spacing w:after="156" w:afterLines="50" w:line="360" w:lineRule="exact"/>
        <w:outlineLvl w:val="1"/>
        <w:rPr>
          <w:rFonts w:ascii="楷体" w:hAnsi="楷体" w:eastAsia="楷体"/>
          <w:color w:val="000000"/>
          <w:sz w:val="24"/>
          <w:szCs w:val="24"/>
        </w:rPr>
      </w:pPr>
      <w:bookmarkStart w:id="22" w:name="_Ref469146970"/>
      <w:r>
        <w:rPr>
          <w:rFonts w:ascii="楷体" w:hAnsi="楷体" w:eastAsia="楷体"/>
          <w:color w:val="000000"/>
          <w:sz w:val="24"/>
          <w:szCs w:val="24"/>
        </w:rPr>
        <w:t>甲方与中介机构签署的相关合同权利义务的转移</w:t>
      </w:r>
      <w:bookmarkEnd w:id="22"/>
    </w:p>
    <w:p>
      <w:pPr>
        <w:pStyle w:val="55"/>
        <w:spacing w:after="156" w:afterLines="50" w:line="360" w:lineRule="exact"/>
        <w:ind w:left="716" w:leftChars="300" w:hanging="86" w:hangingChars="36"/>
        <w:rPr>
          <w:rFonts w:ascii="楷体" w:hAnsi="楷体" w:eastAsia="楷体"/>
          <w:color w:val="000000"/>
          <w:sz w:val="24"/>
          <w:szCs w:val="24"/>
        </w:rPr>
      </w:pPr>
      <w:bookmarkStart w:id="23" w:name="_Ref469146978"/>
      <w:r>
        <w:rPr>
          <w:rFonts w:ascii="楷体" w:hAnsi="楷体" w:eastAsia="楷体"/>
          <w:color w:val="000000"/>
          <w:sz w:val="24"/>
          <w:szCs w:val="24"/>
        </w:rPr>
        <w:t>如甲方及前手在基准日前与相关中介机构为管理、保全或处置标的债权而与任何中介机构签署的服务合同约定需要承继的，乙方同意无条件承继甲方及其前手签署的服务合同并受该等合同条款的约束。乙方自行负责该等服务合同的协商解约、终止事宜，并承担与该等服务合同相关的风险与责任；如需要甲方继续承担全额或部分的支付责任，或甲方被索赔，在乙方代甲方支付可行的情况下，乙方应直接代甲方支付相应款项；在乙方代付不可行的情况下，乙方应在甲方支付相关款项后</w:t>
      </w:r>
      <w:r>
        <w:rPr>
          <w:rFonts w:hint="eastAsia" w:ascii="楷体" w:hAnsi="楷体" w:eastAsia="楷体" w:cs="楷体"/>
          <w:sz w:val="24"/>
          <w:szCs w:val="24"/>
          <w:shd w:val="pct10" w:color="auto" w:fill="FFFFFF"/>
        </w:rPr>
        <w:t xml:space="preserve"> </w:t>
      </w:r>
      <w:r>
        <w:rPr>
          <w:rFonts w:hint="eastAsia" w:ascii="楷体" w:hAnsi="楷体" w:eastAsia="楷体" w:cs="楷体"/>
          <w:sz w:val="24"/>
          <w:szCs w:val="24"/>
          <w:shd w:val="pct10" w:color="auto" w:fill="FFFFFF"/>
          <w:lang w:val="en-US" w:eastAsia="zh-CN"/>
        </w:rPr>
        <w:t>5</w:t>
      </w:r>
      <w:r>
        <w:rPr>
          <w:rFonts w:hint="eastAsia" w:ascii="楷体" w:hAnsi="楷体" w:eastAsia="楷体" w:cs="楷体"/>
          <w:sz w:val="24"/>
          <w:szCs w:val="24"/>
          <w:shd w:val="pct10" w:color="auto" w:fill="FFFFFF"/>
        </w:rPr>
        <w:t xml:space="preserve"> </w:t>
      </w:r>
      <w:r>
        <w:rPr>
          <w:rFonts w:ascii="楷体" w:hAnsi="楷体" w:eastAsia="楷体"/>
          <w:color w:val="000000"/>
          <w:sz w:val="24"/>
          <w:szCs w:val="24"/>
        </w:rPr>
        <w:t>日内对甲方实际支付的款项给予全额补偿。</w:t>
      </w:r>
      <w:bookmarkEnd w:id="23"/>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标的债权转让公告</w:t>
      </w:r>
    </w:p>
    <w:p>
      <w:pPr>
        <w:tabs>
          <w:tab w:val="left" w:pos="709"/>
        </w:tabs>
        <w:spacing w:after="156" w:afterLines="50" w:line="360" w:lineRule="exact"/>
        <w:ind w:left="709"/>
        <w:outlineLvl w:val="1"/>
        <w:rPr>
          <w:rFonts w:ascii="楷体" w:hAnsi="楷体" w:eastAsia="楷体"/>
          <w:b/>
          <w:bCs/>
          <w:color w:val="000000"/>
          <w:sz w:val="24"/>
          <w:szCs w:val="24"/>
        </w:rPr>
      </w:pPr>
      <w:r>
        <w:rPr>
          <w:rFonts w:ascii="楷体" w:hAnsi="楷体" w:eastAsia="楷体"/>
          <w:color w:val="000000"/>
          <w:sz w:val="24"/>
          <w:szCs w:val="24"/>
        </w:rPr>
        <w:t>双方确认，无论双方在交接期内是否完成标的债权文件的交付，</w:t>
      </w:r>
      <w:r>
        <w:rPr>
          <w:rFonts w:hint="eastAsia" w:ascii="楷体" w:hAnsi="楷体" w:eastAsia="楷体"/>
          <w:color w:val="000000"/>
          <w:sz w:val="24"/>
          <w:szCs w:val="24"/>
          <w:lang w:val="en-US" w:eastAsia="zh-CN"/>
        </w:rPr>
        <w:t>乙</w:t>
      </w:r>
      <w:r>
        <w:rPr>
          <w:rFonts w:ascii="楷体" w:hAnsi="楷体" w:eastAsia="楷体"/>
          <w:color w:val="000000"/>
          <w:sz w:val="24"/>
          <w:szCs w:val="24"/>
        </w:rPr>
        <w:t>方均应在权利转移日后</w:t>
      </w:r>
      <w:r>
        <w:rPr>
          <w:rFonts w:ascii="楷体" w:hAnsi="楷体" w:eastAsia="楷体" w:cs="楷体"/>
          <w:sz w:val="24"/>
          <w:szCs w:val="24"/>
          <w:shd w:val="pct10" w:color="auto" w:fill="FFFFFF"/>
        </w:rPr>
        <w:t>30</w:t>
      </w:r>
      <w:r>
        <w:rPr>
          <w:rFonts w:ascii="楷体" w:hAnsi="楷体" w:eastAsia="楷体"/>
          <w:color w:val="000000"/>
          <w:sz w:val="24"/>
          <w:szCs w:val="24"/>
        </w:rPr>
        <w:t>日内，在全国或者省级报纸上发布标的债权转让公告，通知债务人和/或担保人。公告费用由</w:t>
      </w:r>
      <w:r>
        <w:rPr>
          <w:rFonts w:ascii="楷体" w:hAnsi="楷体" w:eastAsia="楷体" w:cs="楷体"/>
          <w:sz w:val="24"/>
          <w:szCs w:val="24"/>
          <w:shd w:val="pct10" w:color="auto" w:fill="FFFFFF"/>
        </w:rPr>
        <w:t>乙方</w:t>
      </w:r>
      <w:r>
        <w:rPr>
          <w:rFonts w:hint="eastAsia" w:ascii="楷体" w:hAnsi="楷体" w:eastAsia="楷体"/>
          <w:color w:val="000000"/>
          <w:sz w:val="24"/>
          <w:szCs w:val="24"/>
          <w:lang w:val="en-US" w:eastAsia="zh-CN"/>
        </w:rPr>
        <w:t>自行</w:t>
      </w:r>
      <w:r>
        <w:rPr>
          <w:rFonts w:ascii="楷体" w:hAnsi="楷体" w:eastAsia="楷体"/>
          <w:color w:val="000000"/>
          <w:sz w:val="24"/>
          <w:szCs w:val="24"/>
        </w:rPr>
        <w:t>承担。如该公告对债权催收内容不能起到中断诉讼时效的作用，甲方不承担任何责任。如乙方迟延受领标的债权文件，不影响甲方对标的债权的转让发布转让公告，由此产生的所有法律风险、费用的额外增加，均由乙方承担。</w:t>
      </w:r>
    </w:p>
    <w:p>
      <w:pPr>
        <w:numPr>
          <w:ilvl w:val="0"/>
          <w:numId w:val="2"/>
        </w:numPr>
        <w:spacing w:after="156" w:afterLines="50" w:line="360" w:lineRule="exact"/>
        <w:outlineLvl w:val="0"/>
        <w:rPr>
          <w:rFonts w:ascii="楷体" w:hAnsi="楷体" w:eastAsia="楷体"/>
          <w:b/>
          <w:bCs/>
          <w:color w:val="000000"/>
          <w:sz w:val="24"/>
          <w:szCs w:val="24"/>
        </w:rPr>
      </w:pPr>
      <w:bookmarkStart w:id="24" w:name="_Toc533512275"/>
      <w:bookmarkStart w:id="25" w:name="_Toc24918"/>
      <w:bookmarkStart w:id="26" w:name="_Toc31553"/>
      <w:r>
        <w:rPr>
          <w:rFonts w:ascii="楷体" w:hAnsi="楷体" w:eastAsia="楷体"/>
          <w:b/>
          <w:bCs/>
          <w:color w:val="000000"/>
          <w:sz w:val="24"/>
          <w:szCs w:val="24"/>
        </w:rPr>
        <w:t>过渡期安排</w:t>
      </w:r>
      <w:bookmarkEnd w:id="24"/>
      <w:bookmarkEnd w:id="25"/>
      <w:bookmarkEnd w:id="26"/>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在过渡期内，甲方拥有对标的债权的自主管理、处置权，并按照下列原则管理、处置标的债权：（1）遵守国家相关法律、法规的规定；（2）遵守甲方制定的有关资产管理和处置的规定。</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在过渡期内，甲方应对标的债权涉及相应诉讼时效和/或法定期间进行维护，但代位权和撤销权的行使除外。如标的债权在基准日之前已经超过诉讼时效和/或法定期间，则不属于甲方维护的范围。</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在过渡期内，甲方因管理处置和维护标的债权而产生的相关费用由乙方承担，甲方应提供相关费用的有效证明（复印件）。该费用由甲方按本合同第5.2条的约定在回收现金中直接予以扣除，但无现金回收或现金少于费用的，乙方应按甲方的通知支付相应费用，否则，每迟延一日，应向甲方支付应付未付款项的万分之五作为违约金。</w:t>
      </w:r>
    </w:p>
    <w:p>
      <w:pPr>
        <w:numPr>
          <w:ilvl w:val="0"/>
          <w:numId w:val="2"/>
        </w:numPr>
        <w:spacing w:after="156" w:afterLines="50" w:line="360" w:lineRule="exact"/>
        <w:outlineLvl w:val="0"/>
        <w:rPr>
          <w:rFonts w:ascii="楷体" w:hAnsi="楷体" w:eastAsia="楷体"/>
          <w:b/>
          <w:bCs/>
          <w:color w:val="000000"/>
          <w:sz w:val="24"/>
          <w:szCs w:val="24"/>
        </w:rPr>
      </w:pPr>
      <w:bookmarkStart w:id="27" w:name="_Toc533512276"/>
      <w:bookmarkStart w:id="28" w:name="_Toc494284909"/>
      <w:bookmarkStart w:id="29" w:name="_Toc494225883"/>
      <w:bookmarkStart w:id="30" w:name="_Toc23117"/>
      <w:bookmarkStart w:id="31" w:name="_Toc16335"/>
      <w:r>
        <w:rPr>
          <w:rFonts w:ascii="楷体" w:hAnsi="楷体" w:eastAsia="楷体"/>
          <w:b/>
          <w:bCs/>
          <w:color w:val="000000"/>
          <w:sz w:val="24"/>
          <w:szCs w:val="24"/>
        </w:rPr>
        <w:t>税费承担</w:t>
      </w:r>
      <w:bookmarkEnd w:id="27"/>
      <w:bookmarkEnd w:id="28"/>
      <w:bookmarkEnd w:id="29"/>
      <w:bookmarkEnd w:id="30"/>
      <w:bookmarkEnd w:id="31"/>
    </w:p>
    <w:p>
      <w:pPr>
        <w:spacing w:after="156" w:afterLines="50" w:line="360" w:lineRule="exact"/>
        <w:ind w:left="709"/>
        <w:outlineLvl w:val="1"/>
        <w:rPr>
          <w:rFonts w:ascii="楷体" w:hAnsi="楷体" w:eastAsia="楷体"/>
          <w:color w:val="000000"/>
          <w:sz w:val="24"/>
          <w:szCs w:val="24"/>
        </w:rPr>
      </w:pPr>
      <w:r>
        <w:rPr>
          <w:rFonts w:ascii="楷体" w:hAnsi="楷体" w:eastAsia="楷体"/>
          <w:color w:val="000000"/>
          <w:sz w:val="24"/>
          <w:szCs w:val="24"/>
        </w:rPr>
        <w:t>双方根据法律、法规规定各自承担因签署、履行本合同所产生的税费。但如存在抵债资产或其他需要过户的资产，甲方不承担资产过户的任何税费。</w:t>
      </w:r>
    </w:p>
    <w:p>
      <w:pPr>
        <w:numPr>
          <w:ilvl w:val="0"/>
          <w:numId w:val="2"/>
        </w:numPr>
        <w:spacing w:after="156" w:afterLines="50" w:line="360" w:lineRule="exact"/>
        <w:outlineLvl w:val="0"/>
        <w:rPr>
          <w:rFonts w:ascii="楷体" w:hAnsi="楷体" w:eastAsia="楷体"/>
          <w:b/>
          <w:bCs/>
          <w:color w:val="000000"/>
          <w:sz w:val="24"/>
          <w:szCs w:val="24"/>
        </w:rPr>
      </w:pPr>
      <w:bookmarkStart w:id="32" w:name="_Ref469155387"/>
      <w:bookmarkStart w:id="33" w:name="_Toc494284910"/>
      <w:bookmarkStart w:id="34" w:name="_Toc20968"/>
      <w:bookmarkStart w:id="35" w:name="_Toc772"/>
      <w:bookmarkStart w:id="36" w:name="_Toc533512277"/>
      <w:bookmarkStart w:id="37" w:name="_Toc494225884"/>
      <w:r>
        <w:rPr>
          <w:rFonts w:ascii="楷体" w:hAnsi="楷体" w:eastAsia="楷体"/>
          <w:b/>
          <w:bCs/>
          <w:color w:val="000000"/>
          <w:sz w:val="24"/>
          <w:szCs w:val="24"/>
        </w:rPr>
        <w:t>声明和保证</w:t>
      </w:r>
      <w:bookmarkEnd w:id="32"/>
      <w:bookmarkEnd w:id="33"/>
      <w:bookmarkEnd w:id="34"/>
      <w:bookmarkEnd w:id="35"/>
      <w:bookmarkEnd w:id="36"/>
      <w:bookmarkEnd w:id="37"/>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甲方的声明和保证</w:t>
      </w:r>
    </w:p>
    <w:p>
      <w:pPr>
        <w:spacing w:after="156" w:afterLines="50" w:line="360" w:lineRule="exact"/>
        <w:ind w:left="709"/>
        <w:outlineLvl w:val="1"/>
        <w:rPr>
          <w:rFonts w:ascii="楷体" w:hAnsi="楷体" w:eastAsia="楷体"/>
          <w:color w:val="000000"/>
          <w:sz w:val="24"/>
          <w:szCs w:val="24"/>
        </w:rPr>
      </w:pPr>
      <w:r>
        <w:rPr>
          <w:rFonts w:ascii="楷体" w:hAnsi="楷体" w:eastAsia="楷体"/>
          <w:color w:val="000000"/>
          <w:sz w:val="24"/>
          <w:szCs w:val="24"/>
        </w:rPr>
        <w:t>甲方特此向乙方作出下述声明和保证，下述各项声明和保证均为真实、准确及充分：</w:t>
      </w:r>
    </w:p>
    <w:p>
      <w:pPr>
        <w:numPr>
          <w:ilvl w:val="0"/>
          <w:numId w:val="7"/>
        </w:numPr>
        <w:tabs>
          <w:tab w:val="left" w:pos="1418"/>
        </w:tabs>
        <w:spacing w:after="156" w:afterLines="50" w:line="360" w:lineRule="exact"/>
        <w:ind w:left="1418" w:hanging="709"/>
        <w:rPr>
          <w:rFonts w:ascii="楷体" w:hAnsi="楷体" w:eastAsia="楷体"/>
          <w:color w:val="000000"/>
          <w:sz w:val="24"/>
          <w:szCs w:val="24"/>
        </w:rPr>
      </w:pPr>
      <w:r>
        <w:rPr>
          <w:rFonts w:ascii="楷体" w:hAnsi="楷体" w:eastAsia="楷体"/>
          <w:color w:val="000000"/>
          <w:sz w:val="24"/>
          <w:szCs w:val="24"/>
        </w:rPr>
        <w:t>甲方具备合法的资格和权利签署本合同，并已获得一切必要的授权，接受本合同的条款和条件。</w:t>
      </w:r>
    </w:p>
    <w:p>
      <w:pPr>
        <w:numPr>
          <w:ilvl w:val="0"/>
          <w:numId w:val="7"/>
        </w:numPr>
        <w:tabs>
          <w:tab w:val="left" w:pos="1418"/>
        </w:tabs>
        <w:spacing w:after="156" w:afterLines="50" w:line="360" w:lineRule="exact"/>
        <w:ind w:left="1418" w:hanging="709"/>
        <w:rPr>
          <w:rFonts w:ascii="楷体" w:hAnsi="楷体" w:eastAsia="楷体"/>
          <w:color w:val="000000"/>
          <w:sz w:val="24"/>
          <w:szCs w:val="24"/>
        </w:rPr>
      </w:pPr>
      <w:r>
        <w:rPr>
          <w:rFonts w:ascii="楷体" w:hAnsi="楷体" w:eastAsia="楷体"/>
          <w:color w:val="000000"/>
          <w:sz w:val="24"/>
          <w:szCs w:val="24"/>
        </w:rPr>
        <w:t>甲方签订并履行本合同：（a）不违反或抵触适用于甲方的任何中国法律；（b）不违反甲方的公司章程或其他组织性文件；（c）不与由其签订的任何已生效的合同规定的义务相冲突。</w:t>
      </w:r>
    </w:p>
    <w:p>
      <w:pPr>
        <w:numPr>
          <w:ilvl w:val="0"/>
          <w:numId w:val="7"/>
        </w:numPr>
        <w:tabs>
          <w:tab w:val="left" w:pos="1418"/>
        </w:tabs>
        <w:spacing w:after="156" w:afterLines="50" w:line="360" w:lineRule="exact"/>
        <w:ind w:left="1418" w:hanging="709"/>
        <w:rPr>
          <w:rFonts w:ascii="楷体" w:hAnsi="楷体" w:eastAsia="楷体"/>
          <w:color w:val="000000"/>
          <w:sz w:val="24"/>
          <w:szCs w:val="24"/>
        </w:rPr>
      </w:pPr>
      <w:r>
        <w:rPr>
          <w:rFonts w:ascii="楷体" w:hAnsi="楷体" w:eastAsia="楷体"/>
          <w:color w:val="000000"/>
          <w:sz w:val="24"/>
          <w:szCs w:val="24"/>
        </w:rPr>
        <w:t>甲方为签署、履行本合同而向乙方提供的所有证明、文件、资料和信息，均由甲方合法获得并如实、准确、完整提供。</w:t>
      </w:r>
    </w:p>
    <w:p>
      <w:pPr>
        <w:numPr>
          <w:ilvl w:val="0"/>
          <w:numId w:val="7"/>
        </w:numPr>
        <w:tabs>
          <w:tab w:val="left" w:pos="1418"/>
        </w:tabs>
        <w:spacing w:after="156" w:afterLines="50" w:line="360" w:lineRule="exact"/>
        <w:ind w:left="1418" w:hanging="709"/>
        <w:rPr>
          <w:rFonts w:ascii="楷体" w:hAnsi="楷体" w:eastAsia="楷体"/>
          <w:color w:val="auto"/>
          <w:sz w:val="24"/>
          <w:szCs w:val="24"/>
        </w:rPr>
      </w:pPr>
      <w:r>
        <w:rPr>
          <w:rFonts w:hint="eastAsia" w:ascii="楷体" w:hAnsi="楷体" w:eastAsia="楷体"/>
          <w:color w:val="auto"/>
          <w:sz w:val="24"/>
          <w:szCs w:val="24"/>
        </w:rPr>
        <w:t>甲方保证在持有标的债权期间没有伪造任何文件，在本次交易中没有故意提供任何虚假信息，甲方已如实向乙方披露从前手债权人处获取的包括但不限于有关标的债权签署相关协议等全部文件及甲方因管理、处置需要可能已与《标的债权清单》中部分债务人（包括担保人）达成</w:t>
      </w:r>
      <w:r>
        <w:rPr>
          <w:rFonts w:hint="eastAsia" w:ascii="楷体" w:hAnsi="楷体" w:eastAsia="楷体"/>
          <w:color w:val="auto"/>
          <w:sz w:val="24"/>
          <w:szCs w:val="24"/>
          <w:lang w:val="en-US" w:eastAsia="zh-CN"/>
        </w:rPr>
        <w:t>的</w:t>
      </w:r>
      <w:r>
        <w:rPr>
          <w:rFonts w:hint="eastAsia" w:ascii="楷体" w:hAnsi="楷体" w:eastAsia="楷体"/>
          <w:color w:val="auto"/>
          <w:sz w:val="24"/>
          <w:szCs w:val="24"/>
        </w:rPr>
        <w:t>包括但不限于借款合同、和解协议、抵债协议及</w:t>
      </w:r>
      <w:r>
        <w:rPr>
          <w:rFonts w:hint="eastAsia" w:ascii="楷体" w:hAnsi="楷体" w:eastAsia="楷体"/>
          <w:color w:val="auto"/>
          <w:sz w:val="24"/>
          <w:szCs w:val="24"/>
          <w:lang w:val="en-US" w:eastAsia="zh-CN"/>
        </w:rPr>
        <w:t>5.3条</w:t>
      </w:r>
      <w:r>
        <w:rPr>
          <w:rFonts w:hint="eastAsia" w:ascii="楷体" w:hAnsi="楷体" w:eastAsia="楷体"/>
          <w:color w:val="auto"/>
          <w:sz w:val="24"/>
          <w:szCs w:val="24"/>
        </w:rPr>
        <w:t>中介服务协议等</w:t>
      </w:r>
      <w:r>
        <w:rPr>
          <w:rFonts w:hint="eastAsia" w:ascii="楷体" w:hAnsi="楷体" w:eastAsia="楷体"/>
          <w:color w:val="auto"/>
          <w:sz w:val="24"/>
          <w:szCs w:val="24"/>
          <w:lang w:val="en-US" w:eastAsia="zh-CN"/>
        </w:rPr>
        <w:t>文件</w:t>
      </w:r>
      <w:r>
        <w:rPr>
          <w:rFonts w:hint="eastAsia" w:ascii="楷体" w:hAnsi="楷体" w:eastAsia="楷体"/>
          <w:color w:val="auto"/>
          <w:sz w:val="24"/>
          <w:szCs w:val="24"/>
        </w:rPr>
        <w:t>。</w:t>
      </w:r>
    </w:p>
    <w:p>
      <w:pPr>
        <w:numPr>
          <w:ilvl w:val="0"/>
          <w:numId w:val="2"/>
        </w:numPr>
        <w:spacing w:after="156" w:afterLines="50" w:line="360" w:lineRule="exact"/>
        <w:outlineLvl w:val="0"/>
        <w:rPr>
          <w:rFonts w:ascii="楷体" w:hAnsi="楷体" w:eastAsia="楷体"/>
          <w:b/>
          <w:color w:val="000000"/>
          <w:sz w:val="24"/>
          <w:szCs w:val="24"/>
        </w:rPr>
      </w:pPr>
      <w:bookmarkStart w:id="38" w:name="_Toc1342"/>
      <w:bookmarkStart w:id="39" w:name="_Toc494284911"/>
      <w:bookmarkStart w:id="40" w:name="_Toc1603"/>
      <w:bookmarkStart w:id="41" w:name="_Toc533512278"/>
      <w:bookmarkStart w:id="42" w:name="_Toc494225885"/>
      <w:r>
        <w:rPr>
          <w:rFonts w:ascii="楷体" w:hAnsi="楷体" w:eastAsia="楷体"/>
          <w:b/>
          <w:color w:val="000000"/>
          <w:sz w:val="24"/>
          <w:szCs w:val="24"/>
        </w:rPr>
        <w:t>乙方的声明和保证</w:t>
      </w:r>
      <w:bookmarkEnd w:id="38"/>
      <w:bookmarkEnd w:id="39"/>
      <w:bookmarkEnd w:id="40"/>
      <w:bookmarkEnd w:id="41"/>
      <w:bookmarkEnd w:id="42"/>
    </w:p>
    <w:p>
      <w:pPr>
        <w:spacing w:after="156" w:afterLines="50" w:line="360" w:lineRule="exact"/>
        <w:ind w:left="709"/>
        <w:outlineLvl w:val="1"/>
        <w:rPr>
          <w:rFonts w:ascii="楷体" w:hAnsi="楷体" w:eastAsia="楷体"/>
          <w:color w:val="000000"/>
          <w:sz w:val="24"/>
          <w:szCs w:val="24"/>
        </w:rPr>
      </w:pPr>
      <w:r>
        <w:rPr>
          <w:rFonts w:ascii="楷体" w:hAnsi="楷体" w:eastAsia="楷体"/>
          <w:color w:val="000000"/>
          <w:sz w:val="24"/>
          <w:szCs w:val="24"/>
        </w:rPr>
        <w:t>乙方特此向甲方作出下述声明和保证，下述各项声明和保证均为真实和准确：</w:t>
      </w:r>
    </w:p>
    <w:p>
      <w:pPr>
        <w:numPr>
          <w:ilvl w:val="1"/>
          <w:numId w:val="2"/>
        </w:numPr>
        <w:tabs>
          <w:tab w:val="left" w:pos="1418"/>
        </w:tabs>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乙方保证具有签署本合同的主体资格、有权受让标的债权、已获得签署和履行本合同的相应授权或批准。乙方承诺不属于国家公务员、金融监管机构工作人员、政法干警、资产公司工作人员、国企债务人管理人员、参与资产处置工作的律师、会计师、评估师等中介机构人员等关联人或者上述关联人参与的非金融机构法人；不属于与参与不良债权转让的资产公司工作人员、国企债务人或者受托资产评估机构负责人员等有近亲属关系的人员;不属于失信被执行人或失信被执行人的法定代表人、主要负责人、影响债务履行的直接责任人员、实际控制人；不属于标的债权所涉及的债务人和担保人；不属于反恐、反洗钱黑名单人员</w:t>
      </w:r>
      <w:r>
        <w:rPr>
          <w:rFonts w:hint="eastAsia" w:ascii="楷体" w:hAnsi="楷体" w:eastAsia="楷体"/>
          <w:color w:val="000000"/>
          <w:sz w:val="24"/>
          <w:szCs w:val="24"/>
          <w:lang w:eastAsia="zh-CN"/>
        </w:rPr>
        <w:t>，资金来源合法合规，交易资金不涉及从事洗钱、毒品犯罪、黑社会犯罪、贪污贿赂等违法犯罪行为</w:t>
      </w:r>
      <w:r>
        <w:rPr>
          <w:rFonts w:ascii="楷体" w:hAnsi="楷体" w:eastAsia="楷体"/>
          <w:color w:val="000000"/>
          <w:sz w:val="24"/>
          <w:szCs w:val="24"/>
        </w:rPr>
        <w:t>；不属于其他依据法律法规不得收购、受让标的债权的主体。</w:t>
      </w:r>
    </w:p>
    <w:p>
      <w:pPr>
        <w:numPr>
          <w:ilvl w:val="1"/>
          <w:numId w:val="2"/>
        </w:numPr>
        <w:tabs>
          <w:tab w:val="left" w:pos="1418"/>
        </w:tabs>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乙方签订并履行本合同：（a）不违反或抵触适用于乙方的任何中国法律；（b）不违反乙方的公司章程、其他组织性文件或决议决定；（c）不与由其签订的任何已生效的合同规定的义务相冲突。</w:t>
      </w:r>
    </w:p>
    <w:p>
      <w:pPr>
        <w:numPr>
          <w:ilvl w:val="1"/>
          <w:numId w:val="2"/>
        </w:numPr>
        <w:tabs>
          <w:tab w:val="left" w:pos="1418"/>
        </w:tabs>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乙方保证其为签署、履行本合同而向甲方提供的所有证明、文件、资料和信息，均在提供资料的当日和适用/使用期内是真实、准确和完整的，不存在故意隐瞒和欺骗的情况。</w:t>
      </w:r>
    </w:p>
    <w:p>
      <w:pPr>
        <w:numPr>
          <w:ilvl w:val="1"/>
          <w:numId w:val="2"/>
        </w:numPr>
        <w:tabs>
          <w:tab w:val="left" w:pos="1418"/>
        </w:tabs>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乙方确认，基于标的债权的特殊性，甲方就标的债权只进行现状出售，乙方独立判断标的债权法律上的有效性和商业价值。乙方在参与竞买标的债权前，已经认真审阅了截至基准日的标的债权文件，对标的债权的现状进行了审慎的调查，乙方完全知悉并接受标的债权的所有风险、瑕疵。</w:t>
      </w:r>
    </w:p>
    <w:p>
      <w:pPr>
        <w:numPr>
          <w:ilvl w:val="0"/>
          <w:numId w:val="2"/>
        </w:numPr>
        <w:spacing w:after="156" w:afterLines="50" w:line="360" w:lineRule="exact"/>
        <w:outlineLvl w:val="0"/>
        <w:rPr>
          <w:rFonts w:ascii="楷体" w:hAnsi="楷体" w:eastAsia="楷体"/>
          <w:b/>
          <w:bCs/>
          <w:color w:val="000000"/>
          <w:sz w:val="24"/>
          <w:szCs w:val="24"/>
        </w:rPr>
      </w:pPr>
      <w:bookmarkStart w:id="43" w:name="_Toc494284913"/>
      <w:bookmarkStart w:id="44" w:name="_Toc4014"/>
      <w:bookmarkStart w:id="45" w:name="_Toc24480"/>
      <w:bookmarkStart w:id="46" w:name="_Ref494187021"/>
      <w:bookmarkStart w:id="47" w:name="_Toc494225887"/>
      <w:bookmarkStart w:id="48" w:name="_Toc533512279"/>
      <w:bookmarkStart w:id="49" w:name="_Ref494182272"/>
      <w:r>
        <w:rPr>
          <w:rFonts w:ascii="楷体" w:hAnsi="楷体" w:eastAsia="楷体"/>
          <w:b/>
          <w:bCs/>
          <w:color w:val="000000"/>
          <w:sz w:val="24"/>
          <w:szCs w:val="24"/>
        </w:rPr>
        <w:t>违约责任</w:t>
      </w:r>
      <w:bookmarkEnd w:id="43"/>
      <w:bookmarkEnd w:id="44"/>
      <w:bookmarkEnd w:id="45"/>
      <w:bookmarkEnd w:id="46"/>
      <w:bookmarkEnd w:id="47"/>
      <w:bookmarkEnd w:id="48"/>
      <w:bookmarkEnd w:id="49"/>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 xml:space="preserve">甲方的违约责任 </w:t>
      </w:r>
    </w:p>
    <w:p>
      <w:pPr>
        <w:spacing w:after="156" w:afterLines="50" w:line="360" w:lineRule="exact"/>
        <w:ind w:left="665" w:hanging="664" w:hangingChars="277"/>
        <w:outlineLvl w:val="1"/>
        <w:rPr>
          <w:rFonts w:ascii="楷体" w:hAnsi="楷体" w:eastAsia="楷体"/>
          <w:color w:val="000000"/>
          <w:sz w:val="24"/>
          <w:szCs w:val="24"/>
        </w:rPr>
      </w:pPr>
      <w:r>
        <w:rPr>
          <w:rFonts w:ascii="楷体" w:hAnsi="楷体" w:eastAsia="楷体"/>
          <w:color w:val="000000"/>
          <w:sz w:val="24"/>
          <w:szCs w:val="24"/>
        </w:rPr>
        <w:t xml:space="preserve">      在乙方没有任何违约情形的前提下，如果甲方违反本合同约定导致乙方不能行使主要权利，给乙方造成损失的，甲方应赔偿乙方的实际损失。</w:t>
      </w:r>
    </w:p>
    <w:p>
      <w:pPr>
        <w:numPr>
          <w:ilvl w:val="1"/>
          <w:numId w:val="2"/>
        </w:numPr>
        <w:spacing w:after="156" w:afterLines="50" w:line="360" w:lineRule="exact"/>
        <w:outlineLvl w:val="1"/>
        <w:rPr>
          <w:rFonts w:ascii="楷体" w:hAnsi="楷体" w:eastAsia="楷体"/>
          <w:color w:val="000000"/>
          <w:sz w:val="24"/>
          <w:szCs w:val="24"/>
        </w:rPr>
      </w:pPr>
      <w:r>
        <w:rPr>
          <w:rFonts w:ascii="楷体" w:hAnsi="楷体" w:eastAsia="楷体"/>
          <w:color w:val="000000"/>
          <w:sz w:val="24"/>
          <w:szCs w:val="24"/>
        </w:rPr>
        <w:t xml:space="preserve">乙方的违约责任  </w:t>
      </w:r>
    </w:p>
    <w:p>
      <w:pPr>
        <w:spacing w:after="156" w:afterLines="50"/>
        <w:rPr>
          <w:rFonts w:ascii="楷体" w:hAnsi="楷体" w:eastAsia="楷体"/>
          <w:color w:val="000000"/>
          <w:sz w:val="24"/>
          <w:szCs w:val="24"/>
        </w:rPr>
      </w:pPr>
      <w:r>
        <w:rPr>
          <w:rFonts w:ascii="楷体" w:hAnsi="楷体" w:eastAsia="楷体"/>
          <w:color w:val="000000"/>
          <w:sz w:val="24"/>
          <w:szCs w:val="24"/>
        </w:rPr>
        <w:t>如乙方未能按时足额支付相应款项或违反除付款义务外的其他义务、声明、保证或承诺，甲方有权选择单独或同时行使下列一项或多项权利，乙方应无条件承担相应违约责任：</w:t>
      </w:r>
    </w:p>
    <w:p>
      <w:pPr>
        <w:numPr>
          <w:ilvl w:val="1"/>
          <w:numId w:val="8"/>
        </w:numPr>
        <w:tabs>
          <w:tab w:val="left" w:pos="1701"/>
        </w:tabs>
        <w:spacing w:after="156" w:afterLines="50" w:line="360" w:lineRule="exact"/>
        <w:ind w:left="1699" w:leftChars="742" w:hanging="141" w:hangingChars="59"/>
        <w:outlineLvl w:val="1"/>
        <w:rPr>
          <w:rFonts w:ascii="楷体" w:hAnsi="楷体" w:eastAsia="楷体"/>
          <w:color w:val="000000"/>
          <w:sz w:val="24"/>
          <w:szCs w:val="24"/>
        </w:rPr>
      </w:pPr>
      <w:r>
        <w:rPr>
          <w:rFonts w:ascii="楷体" w:hAnsi="楷体" w:eastAsia="楷体"/>
          <w:color w:val="000000"/>
          <w:sz w:val="24"/>
          <w:szCs w:val="24"/>
        </w:rPr>
        <w:t>没收乙方就标的债权已缴纳的竞价保证金及/或履约保证金；</w:t>
      </w:r>
    </w:p>
    <w:p>
      <w:pPr>
        <w:numPr>
          <w:ilvl w:val="1"/>
          <w:numId w:val="8"/>
        </w:numPr>
        <w:tabs>
          <w:tab w:val="left" w:pos="1701"/>
        </w:tabs>
        <w:spacing w:after="156" w:afterLines="50" w:line="360" w:lineRule="exact"/>
        <w:ind w:left="1699" w:leftChars="742" w:hanging="141" w:hangingChars="59"/>
        <w:outlineLvl w:val="1"/>
        <w:rPr>
          <w:rFonts w:ascii="楷体" w:hAnsi="楷体" w:eastAsia="楷体"/>
          <w:color w:val="000000"/>
          <w:sz w:val="24"/>
          <w:szCs w:val="24"/>
        </w:rPr>
      </w:pPr>
      <w:r>
        <w:rPr>
          <w:rFonts w:ascii="楷体" w:hAnsi="楷体" w:eastAsia="楷体"/>
          <w:color w:val="000000"/>
          <w:sz w:val="24"/>
          <w:szCs w:val="24"/>
        </w:rPr>
        <w:t>要求乙方就应付未付款</w:t>
      </w:r>
      <w:r>
        <w:rPr>
          <w:rFonts w:hint="eastAsia" w:ascii="楷体" w:hAnsi="楷体" w:eastAsia="楷体"/>
          <w:color w:val="000000"/>
          <w:sz w:val="24"/>
          <w:szCs w:val="24"/>
        </w:rPr>
        <w:t>项</w:t>
      </w:r>
      <w:r>
        <w:rPr>
          <w:rFonts w:ascii="楷体" w:hAnsi="楷体" w:eastAsia="楷体"/>
          <w:color w:val="000000"/>
          <w:sz w:val="24"/>
          <w:szCs w:val="24"/>
        </w:rPr>
        <w:t>按每日</w:t>
      </w:r>
      <w:r>
        <w:rPr>
          <w:rFonts w:ascii="楷体" w:hAnsi="楷体" w:eastAsia="楷体" w:cs="楷体"/>
          <w:sz w:val="24"/>
          <w:szCs w:val="24"/>
          <w:shd w:val="pct10" w:color="auto" w:fill="FFFFFF"/>
        </w:rPr>
        <w:t>万分之五</w:t>
      </w:r>
      <w:r>
        <w:rPr>
          <w:rFonts w:ascii="楷体" w:hAnsi="楷体" w:eastAsia="楷体"/>
          <w:color w:val="000000"/>
          <w:sz w:val="24"/>
          <w:szCs w:val="24"/>
        </w:rPr>
        <w:t>向甲方支付违约金；</w:t>
      </w:r>
    </w:p>
    <w:p>
      <w:pPr>
        <w:numPr>
          <w:ilvl w:val="1"/>
          <w:numId w:val="8"/>
        </w:numPr>
        <w:tabs>
          <w:tab w:val="left" w:pos="1701"/>
        </w:tabs>
        <w:spacing w:after="156" w:afterLines="50" w:line="360" w:lineRule="exact"/>
        <w:ind w:left="1699" w:leftChars="742" w:hanging="141" w:hangingChars="59"/>
        <w:outlineLvl w:val="1"/>
        <w:rPr>
          <w:rFonts w:ascii="楷体" w:hAnsi="楷体" w:eastAsia="楷体"/>
          <w:color w:val="000000"/>
          <w:sz w:val="24"/>
          <w:szCs w:val="24"/>
        </w:rPr>
      </w:pPr>
      <w:r>
        <w:rPr>
          <w:rFonts w:ascii="楷体" w:hAnsi="楷体" w:eastAsia="楷体"/>
          <w:color w:val="000000"/>
          <w:sz w:val="24"/>
          <w:szCs w:val="24"/>
        </w:rPr>
        <w:t>要求乙方继续履行本合同并采取补救措施；</w:t>
      </w:r>
    </w:p>
    <w:p>
      <w:pPr>
        <w:numPr>
          <w:ilvl w:val="1"/>
          <w:numId w:val="8"/>
        </w:numPr>
        <w:tabs>
          <w:tab w:val="left" w:pos="1701"/>
        </w:tabs>
        <w:spacing w:after="156" w:afterLines="50" w:line="360" w:lineRule="exact"/>
        <w:ind w:left="1699" w:leftChars="742" w:hanging="141" w:hangingChars="59"/>
        <w:outlineLvl w:val="1"/>
        <w:rPr>
          <w:rFonts w:ascii="楷体" w:hAnsi="楷体" w:eastAsia="楷体"/>
          <w:color w:val="000000"/>
          <w:sz w:val="24"/>
          <w:szCs w:val="24"/>
        </w:rPr>
      </w:pPr>
      <w:r>
        <w:rPr>
          <w:rFonts w:ascii="楷体" w:hAnsi="楷体" w:eastAsia="楷体"/>
          <w:color w:val="000000"/>
          <w:sz w:val="24"/>
          <w:szCs w:val="24"/>
        </w:rPr>
        <w:t>单方面解除本合同，要求乙方支付违约金，违约金数额为转让价款的</w:t>
      </w:r>
      <w:r>
        <w:rPr>
          <w:rFonts w:ascii="楷体" w:hAnsi="楷体" w:eastAsia="楷体" w:cs="楷体"/>
          <w:sz w:val="24"/>
          <w:szCs w:val="24"/>
          <w:shd w:val="pct10" w:color="auto" w:fill="FFFFFF"/>
        </w:rPr>
        <w:t>30</w:t>
      </w:r>
      <w:r>
        <w:rPr>
          <w:rFonts w:ascii="楷体" w:hAnsi="楷体" w:eastAsia="楷体"/>
          <w:color w:val="000000"/>
          <w:sz w:val="24"/>
          <w:szCs w:val="24"/>
        </w:rPr>
        <w:t>％，如该数额不足以弥补甲方的实际损失，甲方有权继续向乙方追索。</w:t>
      </w:r>
    </w:p>
    <w:p>
      <w:pPr>
        <w:numPr>
          <w:ilvl w:val="0"/>
          <w:numId w:val="9"/>
        </w:numPr>
        <w:tabs>
          <w:tab w:val="left" w:pos="1701"/>
        </w:tabs>
        <w:spacing w:after="156" w:afterLines="50" w:line="360" w:lineRule="exact"/>
        <w:ind w:left="1701" w:hanging="993"/>
        <w:outlineLvl w:val="1"/>
        <w:rPr>
          <w:rFonts w:ascii="楷体" w:hAnsi="楷体" w:eastAsia="楷体"/>
          <w:color w:val="000000"/>
          <w:sz w:val="24"/>
          <w:szCs w:val="24"/>
        </w:rPr>
      </w:pPr>
      <w:r>
        <w:rPr>
          <w:rFonts w:ascii="楷体" w:hAnsi="楷体" w:eastAsia="楷体"/>
          <w:color w:val="000000"/>
          <w:sz w:val="24"/>
          <w:szCs w:val="24"/>
        </w:rPr>
        <w:t>甲方依据上述</w:t>
      </w:r>
      <w:r>
        <w:rPr>
          <w:rFonts w:hint="eastAsia" w:ascii="楷体" w:hAnsi="楷体" w:eastAsia="楷体"/>
          <w:color w:val="000000"/>
          <w:sz w:val="24"/>
          <w:szCs w:val="24"/>
        </w:rPr>
        <w:t>第</w:t>
      </w:r>
      <w:r>
        <w:rPr>
          <w:rFonts w:ascii="楷体" w:hAnsi="楷体" w:eastAsia="楷体"/>
          <w:color w:val="000000"/>
          <w:sz w:val="24"/>
          <w:szCs w:val="24"/>
        </w:rPr>
        <w:t>10.2.1项解除本合同的，自甲方通知乙方本合同解除之日起，相应标的债权自动转回甲方，无需征得乙方同意，乙方应按甲方要求退还已经接收的标的债权文件。如甲方已将标的债权转让事宜通知义务人的，乙方需通知义务人标的债权已转回甲方。如甲方再行处置本合同项下债权的，乙方应支付再行处置所产生的费用；如再行处置成交金额低于本合同项下约定转让价款的，甲方有权向乙方追索该部分差价。</w:t>
      </w:r>
    </w:p>
    <w:p>
      <w:pPr>
        <w:pStyle w:val="17"/>
        <w:numPr>
          <w:ilvl w:val="0"/>
          <w:numId w:val="2"/>
        </w:numPr>
        <w:adjustRightInd w:val="0"/>
        <w:snapToGrid w:val="0"/>
        <w:spacing w:before="0" w:beforeLines="0" w:after="156" w:afterLines="50" w:line="360" w:lineRule="exact"/>
        <w:ind w:firstLineChars="0"/>
        <w:outlineLvl w:val="0"/>
        <w:rPr>
          <w:rFonts w:ascii="楷体" w:hAnsi="楷体" w:eastAsia="楷体"/>
          <w:color w:val="000000"/>
        </w:rPr>
      </w:pPr>
      <w:bookmarkStart w:id="50" w:name="_Toc533512280"/>
      <w:bookmarkStart w:id="51" w:name="_Toc27322"/>
      <w:bookmarkStart w:id="52" w:name="_Toc494284914"/>
      <w:bookmarkStart w:id="53" w:name="_Toc3242"/>
      <w:bookmarkStart w:id="54" w:name="_Toc467427788"/>
      <w:bookmarkStart w:id="55" w:name="_Toc494225888"/>
      <w:r>
        <w:rPr>
          <w:rFonts w:ascii="楷体" w:hAnsi="楷体" w:eastAsia="楷体"/>
          <w:color w:val="000000"/>
        </w:rPr>
        <w:t>不可抗力</w:t>
      </w:r>
      <w:bookmarkEnd w:id="50"/>
      <w:bookmarkEnd w:id="51"/>
      <w:bookmarkEnd w:id="52"/>
      <w:bookmarkEnd w:id="53"/>
      <w:bookmarkEnd w:id="54"/>
      <w:bookmarkEnd w:id="55"/>
    </w:p>
    <w:p>
      <w:pPr>
        <w:pStyle w:val="17"/>
        <w:numPr>
          <w:ilvl w:val="1"/>
          <w:numId w:val="2"/>
        </w:numPr>
        <w:adjustRightInd w:val="0"/>
        <w:snapToGrid w:val="0"/>
        <w:spacing w:before="0" w:beforeLines="0" w:after="156" w:afterLines="50" w:line="360" w:lineRule="exact"/>
        <w:ind w:firstLineChars="0"/>
        <w:outlineLvl w:val="1"/>
        <w:rPr>
          <w:rFonts w:ascii="楷体" w:hAnsi="楷体" w:eastAsia="楷体"/>
          <w:b w:val="0"/>
          <w:color w:val="000000"/>
        </w:rPr>
      </w:pPr>
      <w:r>
        <w:rPr>
          <w:rFonts w:ascii="楷体" w:hAnsi="楷体" w:eastAsia="楷体"/>
          <w:b w:val="0"/>
          <w:color w:val="000000"/>
        </w:rPr>
        <w:t>不可抗力，系指地震、台风、水灾、火灾、战争等不能预见、不能避免并不能克服的，直接影响本合同履行的意外事件。如果出现不可抗力，双方在本合同中的义务在不可抗力影响范围及其持续期间内将中止履行。合同期限可根据中止的期限作相应延长，但须双方协商一致。任何一方均不会因此而承担违约责任。但是，一方迟延履行本合同同时发生了不可抗力，迟延方的违约责任不能免除。</w:t>
      </w:r>
    </w:p>
    <w:p>
      <w:pPr>
        <w:pStyle w:val="17"/>
        <w:numPr>
          <w:ilvl w:val="1"/>
          <w:numId w:val="2"/>
        </w:numPr>
        <w:adjustRightInd w:val="0"/>
        <w:snapToGrid w:val="0"/>
        <w:spacing w:before="0" w:beforeLines="0" w:after="156" w:afterLines="50" w:line="360" w:lineRule="exact"/>
        <w:ind w:firstLineChars="0"/>
        <w:outlineLvl w:val="1"/>
        <w:rPr>
          <w:rFonts w:ascii="楷体" w:hAnsi="楷体" w:eastAsia="楷体"/>
          <w:b w:val="0"/>
          <w:color w:val="000000"/>
        </w:rPr>
      </w:pPr>
      <w:r>
        <w:rPr>
          <w:rFonts w:ascii="楷体" w:hAnsi="楷体" w:eastAsia="楷体"/>
          <w:b w:val="0"/>
          <w:color w:val="000000"/>
        </w:rPr>
        <w:t>受不可抗力影响的一方，应当尽可能采取合理的行为和适当的措施减轻不可抗力对履行本合同所造成的影响。没有采取适当措施致使损失扩大的，该方不能就扩大损失的部分要求免责。受不可抗力影响一方应在不可抗力事件发生后7个工作日内将不能履行本合同的原因书面通知本合同其他方，并提供有效的证明文件。不可抗力影响结束后，受影响一方应在3个工作日内书面通知本合同其他方。</w:t>
      </w:r>
    </w:p>
    <w:p>
      <w:pPr>
        <w:pStyle w:val="17"/>
        <w:numPr>
          <w:ilvl w:val="1"/>
          <w:numId w:val="2"/>
        </w:numPr>
        <w:adjustRightInd w:val="0"/>
        <w:snapToGrid w:val="0"/>
        <w:spacing w:before="0" w:beforeLines="0" w:after="156" w:afterLines="50" w:line="360" w:lineRule="exact"/>
        <w:ind w:firstLineChars="0"/>
        <w:outlineLvl w:val="1"/>
        <w:rPr>
          <w:rFonts w:ascii="楷体" w:hAnsi="楷体" w:eastAsia="楷体"/>
          <w:b w:val="0"/>
          <w:color w:val="000000"/>
        </w:rPr>
      </w:pPr>
      <w:r>
        <w:rPr>
          <w:rFonts w:ascii="楷体" w:hAnsi="楷体" w:eastAsia="楷体"/>
          <w:b w:val="0"/>
          <w:color w:val="000000"/>
        </w:rPr>
        <w:t>如果不可抗力影响超过30日，双方可协商解决此后的合同执行问题。如果双方在相应顺延的30日内未能协商一致，每一方均有权解除合同。</w:t>
      </w:r>
    </w:p>
    <w:p>
      <w:pPr>
        <w:pStyle w:val="17"/>
        <w:numPr>
          <w:ilvl w:val="0"/>
          <w:numId w:val="2"/>
        </w:numPr>
        <w:adjustRightInd w:val="0"/>
        <w:snapToGrid w:val="0"/>
        <w:spacing w:before="0" w:beforeLines="0" w:after="156" w:afterLines="50" w:line="360" w:lineRule="exact"/>
        <w:ind w:firstLineChars="0"/>
        <w:outlineLvl w:val="0"/>
        <w:rPr>
          <w:rFonts w:ascii="楷体" w:hAnsi="楷体" w:eastAsia="楷体"/>
          <w:color w:val="000000"/>
        </w:rPr>
      </w:pPr>
      <w:bookmarkStart w:id="56" w:name="_Toc467427791"/>
      <w:bookmarkStart w:id="57" w:name="_Toc494225889"/>
      <w:bookmarkStart w:id="58" w:name="_Toc533512281"/>
      <w:bookmarkStart w:id="59" w:name="_Toc494284915"/>
      <w:bookmarkStart w:id="60" w:name="_Toc608"/>
      <w:bookmarkStart w:id="61" w:name="_Toc25582"/>
      <w:r>
        <w:rPr>
          <w:rFonts w:ascii="楷体" w:hAnsi="楷体" w:eastAsia="楷体"/>
          <w:color w:val="000000"/>
        </w:rPr>
        <w:t>保密</w:t>
      </w:r>
      <w:bookmarkEnd w:id="56"/>
      <w:bookmarkEnd w:id="57"/>
      <w:bookmarkEnd w:id="58"/>
      <w:bookmarkEnd w:id="59"/>
      <w:bookmarkEnd w:id="60"/>
      <w:bookmarkEnd w:id="61"/>
    </w:p>
    <w:p>
      <w:pPr>
        <w:pStyle w:val="17"/>
        <w:numPr>
          <w:ilvl w:val="1"/>
          <w:numId w:val="2"/>
        </w:numPr>
        <w:adjustRightInd w:val="0"/>
        <w:snapToGrid w:val="0"/>
        <w:spacing w:before="0" w:beforeLines="0" w:after="156" w:afterLines="50" w:line="360" w:lineRule="exact"/>
        <w:ind w:firstLineChars="0"/>
        <w:outlineLvl w:val="1"/>
        <w:rPr>
          <w:rFonts w:ascii="楷体" w:hAnsi="楷体" w:eastAsia="楷体"/>
          <w:b w:val="0"/>
          <w:color w:val="000000"/>
        </w:rPr>
      </w:pPr>
      <w:r>
        <w:rPr>
          <w:rFonts w:ascii="楷体" w:hAnsi="楷体" w:eastAsia="楷体"/>
          <w:b w:val="0"/>
          <w:color w:val="000000"/>
        </w:rPr>
        <w:t>乙方应按照甲方的要求签署《保密承诺》，并按《保密承诺》的规定严格履行保密义务。</w:t>
      </w:r>
    </w:p>
    <w:p>
      <w:pPr>
        <w:pStyle w:val="17"/>
        <w:numPr>
          <w:ilvl w:val="0"/>
          <w:numId w:val="2"/>
        </w:numPr>
        <w:adjustRightInd w:val="0"/>
        <w:snapToGrid w:val="0"/>
        <w:spacing w:before="0" w:beforeLines="0" w:after="156" w:afterLines="50" w:line="360" w:lineRule="exact"/>
        <w:ind w:left="0" w:firstLine="0" w:firstLineChars="0"/>
        <w:outlineLvl w:val="0"/>
        <w:rPr>
          <w:rFonts w:ascii="楷体" w:hAnsi="楷体" w:eastAsia="楷体"/>
          <w:color w:val="000000"/>
        </w:rPr>
      </w:pPr>
      <w:bookmarkStart w:id="62" w:name="_Toc494225893"/>
      <w:bookmarkStart w:id="63" w:name="_Toc533512285"/>
      <w:bookmarkStart w:id="64" w:name="_Toc467427795"/>
      <w:bookmarkStart w:id="65" w:name="_Toc269"/>
      <w:bookmarkStart w:id="66" w:name="_Toc494284919"/>
      <w:bookmarkStart w:id="67" w:name="_Toc25280"/>
      <w:r>
        <w:rPr>
          <w:rFonts w:ascii="楷体" w:hAnsi="楷体" w:eastAsia="楷体"/>
          <w:color w:val="000000"/>
        </w:rPr>
        <w:t xml:space="preserve">  通知</w:t>
      </w:r>
      <w:bookmarkEnd w:id="62"/>
      <w:bookmarkEnd w:id="63"/>
      <w:bookmarkEnd w:id="64"/>
      <w:bookmarkEnd w:id="65"/>
      <w:bookmarkEnd w:id="66"/>
      <w:bookmarkEnd w:id="67"/>
    </w:p>
    <w:p>
      <w:pPr>
        <w:pStyle w:val="36"/>
        <w:numPr>
          <w:ilvl w:val="1"/>
          <w:numId w:val="2"/>
        </w:numPr>
        <w:spacing w:after="156" w:afterLines="50" w:line="360" w:lineRule="exact"/>
        <w:jc w:val="both"/>
        <w:outlineLvl w:val="1"/>
        <w:rPr>
          <w:rFonts w:ascii="楷体" w:hAnsi="楷体" w:eastAsia="楷体"/>
        </w:rPr>
      </w:pPr>
      <w:r>
        <w:rPr>
          <w:rFonts w:ascii="楷体" w:hAnsi="楷体" w:eastAsia="楷体"/>
          <w:bCs/>
        </w:rPr>
        <w:t>除非本合同另有约定，否则，根据本合同发出的任何通知、要求或其他文件应采用</w:t>
      </w:r>
      <w:r>
        <w:rPr>
          <w:rFonts w:ascii="楷体" w:hAnsi="楷体" w:eastAsia="楷体"/>
        </w:rPr>
        <w:t>书面形式。各方确认本合同涉及的各类通知、要求、其他文件以及就本合同发生纠纷时相关文件和法律文书的送达地址如下：</w:t>
      </w:r>
    </w:p>
    <w:p>
      <w:pPr>
        <w:pStyle w:val="17"/>
        <w:adjustRightInd w:val="0"/>
        <w:snapToGrid w:val="0"/>
        <w:spacing w:after="156" w:afterLines="50" w:line="360" w:lineRule="exact"/>
        <w:ind w:firstLine="1200" w:firstLineChars="500"/>
        <w:outlineLvl w:val="1"/>
        <w:rPr>
          <w:rFonts w:hint="eastAsia" w:ascii="楷体" w:hAnsi="楷体" w:eastAsia="楷体"/>
          <w:b w:val="0"/>
          <w:color w:val="000000"/>
          <w:lang w:eastAsia="zh-CN"/>
        </w:rPr>
      </w:pPr>
      <w:r>
        <w:rPr>
          <w:rFonts w:ascii="楷体" w:hAnsi="楷体" w:eastAsia="楷体"/>
          <w:b w:val="0"/>
          <w:color w:val="000000"/>
        </w:rPr>
        <w:t>甲方：</w:t>
      </w:r>
      <w:r>
        <w:rPr>
          <w:rFonts w:ascii="楷体" w:hAnsi="楷体" w:eastAsia="楷体" w:cs="楷体"/>
          <w:b w:val="0"/>
          <w:bCs w:val="0"/>
          <w:shd w:val="pct10" w:color="auto" w:fill="FFFFFF"/>
        </w:rPr>
        <w:t>深圳市</w:t>
      </w:r>
      <w:r>
        <w:rPr>
          <w:rFonts w:hint="eastAsia" w:ascii="楷体" w:hAnsi="楷体" w:eastAsia="楷体" w:cs="楷体"/>
          <w:b w:val="0"/>
          <w:bCs w:val="0"/>
          <w:shd w:val="pct10" w:color="auto" w:fill="FFFFFF"/>
        </w:rPr>
        <w:t>招平申城</w:t>
      </w:r>
      <w:r>
        <w:rPr>
          <w:rFonts w:hint="eastAsia" w:ascii="楷体" w:hAnsi="楷体" w:eastAsia="楷体" w:cs="楷体"/>
          <w:b w:val="0"/>
          <w:bCs w:val="0"/>
          <w:shd w:val="pct10" w:color="auto" w:fill="FFFFFF"/>
          <w:lang w:val="en-US" w:eastAsia="zh-CN"/>
        </w:rPr>
        <w:t>五</w:t>
      </w:r>
      <w:r>
        <w:rPr>
          <w:rFonts w:hint="eastAsia" w:ascii="楷体" w:hAnsi="楷体" w:eastAsia="楷体" w:cs="楷体"/>
          <w:b w:val="0"/>
          <w:bCs w:val="0"/>
          <w:shd w:val="pct10" w:color="auto" w:fill="FFFFFF"/>
        </w:rPr>
        <w:t>号投资中心（有限合伙）</w:t>
      </w:r>
    </w:p>
    <w:p>
      <w:pPr>
        <w:pStyle w:val="17"/>
        <w:adjustRightInd w:val="0"/>
        <w:snapToGrid w:val="0"/>
        <w:spacing w:after="156" w:afterLines="50" w:line="360" w:lineRule="exact"/>
        <w:ind w:left="709"/>
        <w:outlineLvl w:val="1"/>
        <w:rPr>
          <w:rFonts w:hint="default" w:ascii="楷体" w:hAnsi="楷体" w:eastAsia="楷体"/>
          <w:b w:val="0"/>
          <w:color w:val="000000"/>
          <w:lang w:val="en-US"/>
        </w:rPr>
      </w:pPr>
      <w:r>
        <w:rPr>
          <w:rFonts w:ascii="楷体" w:hAnsi="楷体" w:eastAsia="楷体"/>
          <w:b w:val="0"/>
          <w:color w:val="000000"/>
        </w:rPr>
        <w:t>送达地址：</w:t>
      </w:r>
      <w:r>
        <w:rPr>
          <w:rFonts w:hint="eastAsia" w:ascii="楷体" w:hAnsi="楷体" w:eastAsia="楷体" w:cs="楷体"/>
          <w:b w:val="0"/>
          <w:bCs w:val="0"/>
          <w:shd w:val="pct10" w:color="auto" w:fill="FFFFFF"/>
          <w:lang w:val="en-US" w:eastAsia="zh-CN"/>
        </w:rPr>
        <w:t xml:space="preserve">                            </w:t>
      </w:r>
      <w:bookmarkStart w:id="93" w:name="_GoBack"/>
      <w:bookmarkEnd w:id="93"/>
      <w:r>
        <w:rPr>
          <w:rFonts w:hint="eastAsia" w:ascii="楷体" w:hAnsi="楷体" w:eastAsia="楷体" w:cs="楷体"/>
          <w:b w:val="0"/>
          <w:bCs w:val="0"/>
          <w:shd w:val="pct10" w:color="auto" w:fill="FFFFFF"/>
          <w:lang w:val="en-US" w:eastAsia="zh-CN"/>
        </w:rPr>
        <w:t xml:space="preserve">     </w:t>
      </w:r>
    </w:p>
    <w:p>
      <w:pPr>
        <w:pStyle w:val="17"/>
        <w:adjustRightInd w:val="0"/>
        <w:snapToGrid w:val="0"/>
        <w:spacing w:after="156" w:afterLines="50" w:line="360" w:lineRule="exact"/>
        <w:ind w:left="709"/>
        <w:outlineLvl w:val="1"/>
        <w:rPr>
          <w:rFonts w:hint="default" w:ascii="楷体" w:hAnsi="楷体" w:eastAsia="楷体"/>
          <w:b w:val="0"/>
          <w:color w:val="000000"/>
          <w:lang w:val="en-US" w:eastAsia="zh-CN"/>
        </w:rPr>
      </w:pPr>
      <w:r>
        <w:rPr>
          <w:rFonts w:ascii="楷体" w:hAnsi="楷体" w:eastAsia="楷体"/>
          <w:b w:val="0"/>
          <w:color w:val="000000"/>
        </w:rPr>
        <w:t>联系人：</w:t>
      </w:r>
      <w:r>
        <w:rPr>
          <w:rFonts w:hint="eastAsia" w:ascii="楷体" w:hAnsi="楷体" w:eastAsia="楷体" w:cs="楷体"/>
          <w:b w:val="0"/>
          <w:bCs w:val="0"/>
          <w:shd w:val="pct10" w:color="auto" w:fill="FFFFFF"/>
          <w:lang w:val="en-US" w:eastAsia="zh-CN"/>
        </w:rPr>
        <w:t xml:space="preserve">            </w:t>
      </w:r>
    </w:p>
    <w:p>
      <w:pPr>
        <w:pStyle w:val="17"/>
        <w:adjustRightInd w:val="0"/>
        <w:snapToGrid w:val="0"/>
        <w:spacing w:after="156" w:afterLines="50" w:line="360" w:lineRule="exact"/>
        <w:ind w:left="709"/>
        <w:outlineLvl w:val="1"/>
        <w:rPr>
          <w:rFonts w:ascii="楷体" w:hAnsi="楷体" w:eastAsia="楷体"/>
          <w:b w:val="0"/>
          <w:color w:val="000000"/>
          <w:u w:val="single"/>
        </w:rPr>
      </w:pPr>
      <w:r>
        <w:rPr>
          <w:rFonts w:ascii="楷体" w:hAnsi="楷体" w:eastAsia="楷体"/>
          <w:b w:val="0"/>
          <w:color w:val="000000"/>
        </w:rPr>
        <w:t>电话：</w:t>
      </w:r>
      <w:r>
        <w:rPr>
          <w:rFonts w:hint="eastAsia" w:ascii="楷体" w:hAnsi="楷体" w:eastAsia="楷体" w:cs="楷体"/>
          <w:b w:val="0"/>
          <w:bCs w:val="0"/>
          <w:shd w:val="pct10" w:color="auto" w:fill="FFFFFF"/>
          <w:lang w:val="en-US" w:eastAsia="zh-CN"/>
        </w:rPr>
        <w:t xml:space="preserve">               </w:t>
      </w:r>
      <w:r>
        <w:rPr>
          <w:rFonts w:ascii="楷体" w:hAnsi="楷体" w:eastAsia="楷体"/>
          <w:b w:val="0"/>
          <w:color w:val="000000"/>
        </w:rPr>
        <w:t xml:space="preserve">  </w:t>
      </w:r>
      <w:r>
        <w:rPr>
          <w:rFonts w:hint="eastAsia" w:ascii="楷体" w:hAnsi="楷体" w:eastAsia="楷体"/>
          <w:b w:val="0"/>
          <w:color w:val="000000"/>
          <w:lang w:val="en-US" w:eastAsia="zh-CN"/>
        </w:rPr>
        <w:t xml:space="preserve"> </w:t>
      </w:r>
      <w:r>
        <w:rPr>
          <w:rFonts w:ascii="楷体" w:hAnsi="楷体" w:eastAsia="楷体"/>
          <w:b w:val="0"/>
          <w:color w:val="000000"/>
        </w:rPr>
        <w:t xml:space="preserve">    传真：</w:t>
      </w:r>
      <w:r>
        <w:rPr>
          <w:rFonts w:ascii="楷体" w:hAnsi="楷体" w:eastAsia="楷体" w:cs="楷体"/>
          <w:b w:val="0"/>
          <w:bCs w:val="0"/>
          <w:shd w:val="pct10" w:color="auto" w:fill="FFFFFF"/>
        </w:rPr>
        <w:t xml:space="preserve">         </w:t>
      </w:r>
    </w:p>
    <w:p>
      <w:pPr>
        <w:pStyle w:val="17"/>
        <w:adjustRightInd w:val="0"/>
        <w:snapToGrid w:val="0"/>
        <w:spacing w:after="156" w:afterLines="50" w:line="360" w:lineRule="exact"/>
        <w:ind w:left="709"/>
        <w:outlineLvl w:val="1"/>
        <w:rPr>
          <w:rFonts w:hint="eastAsia" w:ascii="楷体" w:hAnsi="楷体" w:eastAsia="楷体" w:cs="楷体"/>
          <w:b w:val="0"/>
          <w:bCs w:val="0"/>
          <w:shd w:val="pct10" w:color="auto" w:fill="FFFFFF"/>
        </w:rPr>
      </w:pPr>
      <w:r>
        <w:rPr>
          <w:rFonts w:hint="eastAsia" w:ascii="楷体" w:hAnsi="楷体" w:eastAsia="楷体" w:cs="Times New Roman"/>
          <w:b w:val="0"/>
          <w:bCs/>
          <w:color w:val="000000"/>
        </w:rPr>
        <w:t>乙方：</w:t>
      </w:r>
      <w:r>
        <w:rPr>
          <w:rFonts w:hint="eastAsia" w:ascii="楷体" w:hAnsi="楷体" w:eastAsia="楷体" w:cs="楷体"/>
          <w:b w:val="0"/>
          <w:bCs w:val="0"/>
          <w:shd w:val="pct10" w:color="auto" w:fill="FFFFFF"/>
        </w:rPr>
        <w:t xml:space="preserve">  </w:t>
      </w:r>
      <w:r>
        <w:rPr>
          <w:rFonts w:hint="eastAsia" w:ascii="楷体" w:hAnsi="楷体" w:eastAsia="楷体" w:cs="楷体"/>
          <w:b w:val="0"/>
          <w:bCs w:val="0"/>
          <w:shd w:val="pct10" w:color="auto" w:fill="FFFFFF"/>
          <w:lang w:val="en-US" w:eastAsia="zh-CN"/>
        </w:rPr>
        <w:t xml:space="preserve">           </w:t>
      </w:r>
      <w:r>
        <w:rPr>
          <w:rFonts w:hint="eastAsia" w:ascii="楷体" w:hAnsi="楷体" w:eastAsia="楷体" w:cs="楷体"/>
          <w:b w:val="0"/>
          <w:bCs w:val="0"/>
          <w:shd w:val="pct10" w:color="auto" w:fill="FFFFFF"/>
        </w:rPr>
        <w:t xml:space="preserve"> </w:t>
      </w:r>
      <w:r>
        <w:rPr>
          <w:rFonts w:hint="eastAsia" w:ascii="楷体" w:hAnsi="楷体" w:eastAsia="楷体" w:cs="楷体"/>
          <w:b w:val="0"/>
          <w:bCs w:val="0"/>
          <w:shd w:val="pct10" w:color="auto" w:fill="FFFFFF"/>
          <w:lang w:val="en-US" w:eastAsia="zh-CN"/>
        </w:rPr>
        <w:t xml:space="preserve">                      </w:t>
      </w:r>
      <w:r>
        <w:rPr>
          <w:rFonts w:hint="eastAsia" w:ascii="楷体" w:hAnsi="楷体" w:eastAsia="楷体" w:cs="楷体"/>
          <w:b w:val="0"/>
          <w:bCs w:val="0"/>
          <w:shd w:val="pct10" w:color="auto" w:fill="FFFFFF"/>
        </w:rPr>
        <w:t xml:space="preserve"> </w:t>
      </w:r>
    </w:p>
    <w:p>
      <w:pPr>
        <w:pStyle w:val="17"/>
        <w:adjustRightInd w:val="0"/>
        <w:snapToGrid w:val="0"/>
        <w:spacing w:before="0" w:beforeLines="0" w:after="156" w:afterLines="50" w:line="360" w:lineRule="exact"/>
        <w:ind w:left="709"/>
        <w:outlineLvl w:val="1"/>
        <w:rPr>
          <w:rFonts w:hint="eastAsia" w:ascii="楷体" w:hAnsi="楷体" w:eastAsia="楷体" w:cs="楷体"/>
          <w:b w:val="0"/>
          <w:bCs w:val="0"/>
          <w:shd w:val="pct10" w:color="auto" w:fill="FFFFFF"/>
        </w:rPr>
      </w:pPr>
      <w:r>
        <w:rPr>
          <w:rFonts w:hint="eastAsia" w:ascii="楷体" w:hAnsi="楷体" w:eastAsia="楷体" w:cs="Times New Roman"/>
          <w:b w:val="0"/>
          <w:bCs/>
          <w:color w:val="000000"/>
        </w:rPr>
        <w:t>送达地址：</w:t>
      </w:r>
      <w:r>
        <w:rPr>
          <w:rFonts w:hint="eastAsia" w:ascii="楷体" w:hAnsi="楷体" w:eastAsia="楷体" w:cs="楷体"/>
          <w:b w:val="0"/>
          <w:bCs w:val="0"/>
          <w:shd w:val="pct10" w:color="auto" w:fill="FFFFFF"/>
          <w:lang w:val="en-US" w:eastAsia="zh-CN"/>
        </w:rPr>
        <w:t xml:space="preserve">                                </w:t>
      </w:r>
      <w:r>
        <w:rPr>
          <w:rFonts w:hint="eastAsia" w:ascii="楷体" w:hAnsi="楷体" w:eastAsia="楷体" w:cs="楷体"/>
          <w:b w:val="0"/>
          <w:bCs w:val="0"/>
          <w:shd w:val="pct10" w:color="auto" w:fill="FFFFFF"/>
        </w:rPr>
        <w:t xml:space="preserve"> </w:t>
      </w:r>
    </w:p>
    <w:p>
      <w:pPr>
        <w:pStyle w:val="17"/>
        <w:numPr>
          <w:ilvl w:val="0"/>
          <w:numId w:val="0"/>
        </w:numPr>
        <w:adjustRightInd w:val="0"/>
        <w:snapToGrid w:val="0"/>
        <w:spacing w:after="156" w:afterLines="50" w:line="360" w:lineRule="exact"/>
        <w:ind w:leftChars="0" w:firstLine="1200" w:firstLineChars="500"/>
        <w:outlineLvl w:val="1"/>
        <w:rPr>
          <w:rFonts w:hint="eastAsia" w:ascii="楷体" w:hAnsi="楷体" w:eastAsia="楷体" w:cs="Times New Roman"/>
          <w:color w:val="000000"/>
          <w:sz w:val="24"/>
          <w:szCs w:val="24"/>
        </w:rPr>
      </w:pPr>
      <w:r>
        <w:rPr>
          <w:rFonts w:ascii="楷体" w:hAnsi="楷体" w:eastAsia="楷体" w:cs="Times New Roman"/>
          <w:b w:val="0"/>
          <w:bCs w:val="0"/>
          <w:i w:val="0"/>
          <w:iCs w:val="0"/>
          <w:color w:val="000000"/>
          <w:sz w:val="24"/>
          <w:szCs w:val="24"/>
        </w:rPr>
        <w:t>联系人：</w:t>
      </w:r>
      <w:r>
        <w:rPr>
          <w:rFonts w:hint="eastAsia" w:ascii="楷体" w:hAnsi="楷体" w:eastAsia="楷体" w:cs="Times New Roman"/>
          <w:b w:val="0"/>
          <w:bCs w:val="0"/>
          <w:sz w:val="24"/>
          <w:szCs w:val="24"/>
          <w:shd w:val="pct10" w:color="auto" w:fill="FFFFFF"/>
          <w:lang w:val="en-US" w:eastAsia="zh-CN"/>
        </w:rPr>
        <w:t xml:space="preserve">             </w:t>
      </w:r>
    </w:p>
    <w:p>
      <w:pPr>
        <w:pStyle w:val="17"/>
        <w:adjustRightInd w:val="0"/>
        <w:snapToGrid w:val="0"/>
        <w:spacing w:after="156" w:afterLines="50" w:line="360" w:lineRule="exact"/>
        <w:ind w:left="709"/>
        <w:outlineLvl w:val="1"/>
        <w:rPr>
          <w:rFonts w:ascii="楷体" w:hAnsi="楷体" w:eastAsia="楷体"/>
          <w:b w:val="0"/>
          <w:color w:val="000000"/>
        </w:rPr>
      </w:pPr>
      <w:r>
        <w:rPr>
          <w:rFonts w:ascii="楷体" w:hAnsi="楷体" w:eastAsia="楷体" w:cs="Times New Roman"/>
          <w:b w:val="0"/>
          <w:bCs w:val="0"/>
          <w:color w:val="000000"/>
          <w:sz w:val="24"/>
          <w:szCs w:val="24"/>
        </w:rPr>
        <w:t>联系电话：</w:t>
      </w:r>
      <w:r>
        <w:rPr>
          <w:rFonts w:hint="eastAsia" w:ascii="楷体" w:hAnsi="楷体" w:eastAsia="楷体" w:cs="Times New Roman"/>
          <w:b w:val="0"/>
          <w:bCs w:val="0"/>
          <w:sz w:val="24"/>
          <w:szCs w:val="24"/>
          <w:shd w:val="pct10" w:color="auto" w:fill="FFFFFF"/>
          <w:lang w:val="en-US" w:eastAsia="zh-CN"/>
        </w:rPr>
        <w:t xml:space="preserve">         </w:t>
      </w:r>
      <w:r>
        <w:rPr>
          <w:rFonts w:hint="eastAsia" w:ascii="楷体" w:hAnsi="楷体" w:eastAsia="楷体" w:cs="Times New Roman"/>
          <w:b w:val="0"/>
          <w:bCs w:val="0"/>
          <w:sz w:val="24"/>
          <w:szCs w:val="24"/>
          <w:highlight w:val="none"/>
          <w:shd w:val="pct10" w:color="auto" w:fill="FFFFFF"/>
        </w:rPr>
        <w:t xml:space="preserve"> </w:t>
      </w:r>
      <w:r>
        <w:rPr>
          <w:rFonts w:hint="eastAsia" w:ascii="楷体" w:hAnsi="楷体" w:eastAsia="楷体" w:cs="Times New Roman"/>
          <w:b w:val="0"/>
          <w:bCs w:val="0"/>
          <w:sz w:val="24"/>
          <w:szCs w:val="24"/>
          <w:highlight w:val="none"/>
          <w:shd w:val="pct10" w:color="auto" w:fill="FFFFFF"/>
          <w:lang w:val="en-US" w:eastAsia="zh-CN"/>
        </w:rPr>
        <w:t xml:space="preserve">  </w:t>
      </w:r>
      <w:r>
        <w:rPr>
          <w:rFonts w:hint="eastAsia" w:ascii="楷体" w:hAnsi="楷体" w:eastAsia="楷体" w:cs="Times New Roman"/>
          <w:b w:val="0"/>
          <w:bCs w:val="0"/>
          <w:color w:val="000000"/>
          <w:sz w:val="24"/>
          <w:szCs w:val="24"/>
          <w:highlight w:val="none"/>
          <w:lang w:val="en-US" w:eastAsia="zh-CN"/>
        </w:rPr>
        <w:t xml:space="preserve">  </w:t>
      </w:r>
      <w:r>
        <w:rPr>
          <w:rFonts w:ascii="楷体" w:hAnsi="楷体" w:eastAsia="楷体"/>
          <w:b w:val="0"/>
          <w:color w:val="000000"/>
          <w:highlight w:val="none"/>
        </w:rPr>
        <w:t xml:space="preserve">  </w:t>
      </w:r>
      <w:r>
        <w:rPr>
          <w:rFonts w:hint="eastAsia" w:ascii="楷体" w:hAnsi="楷体" w:eastAsia="楷体"/>
          <w:b w:val="0"/>
          <w:color w:val="000000"/>
          <w:highlight w:val="none"/>
          <w:lang w:val="en-US" w:eastAsia="zh-CN"/>
        </w:rPr>
        <w:t xml:space="preserve">  </w:t>
      </w:r>
      <w:r>
        <w:rPr>
          <w:rFonts w:ascii="楷体" w:hAnsi="楷体" w:eastAsia="楷体"/>
          <w:b w:val="0"/>
          <w:color w:val="000000"/>
          <w:highlight w:val="none"/>
        </w:rPr>
        <w:t>传真：</w:t>
      </w:r>
      <w:r>
        <w:rPr>
          <w:rFonts w:ascii="楷体" w:hAnsi="楷体" w:eastAsia="楷体" w:cs="楷体"/>
          <w:b w:val="0"/>
          <w:bCs w:val="0"/>
          <w:shd w:val="pct10" w:color="auto" w:fill="FFFFFF"/>
        </w:rPr>
        <w:t xml:space="preserve">         </w:t>
      </w:r>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双方送达地址的约定的适用范围包括双方签署和履行本合同所需的各类通知、要求或其他文件以及就本合同发生争议时相关文件和法律文书的送达，同时包括在争议进入仲裁、民事诉讼程序后的一审、二审、再审和执行程序。</w:t>
      </w:r>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一方的送达地址需要变更时应当立即书面通知其他方。</w:t>
      </w:r>
    </w:p>
    <w:p>
      <w:pPr>
        <w:pStyle w:val="17"/>
        <w:adjustRightInd w:val="0"/>
        <w:snapToGrid w:val="0"/>
        <w:spacing w:after="156" w:afterLines="50" w:line="360" w:lineRule="exact"/>
        <w:ind w:left="709" w:firstLine="0" w:firstLineChars="0"/>
        <w:outlineLvl w:val="1"/>
        <w:rPr>
          <w:rFonts w:ascii="楷体" w:hAnsi="楷体" w:eastAsia="楷体"/>
          <w:b w:val="0"/>
          <w:color w:val="000000"/>
        </w:rPr>
      </w:pPr>
      <w:r>
        <w:rPr>
          <w:rFonts w:ascii="楷体" w:hAnsi="楷体" w:eastAsia="楷体"/>
          <w:b w:val="0"/>
          <w:color w:val="000000"/>
        </w:rPr>
        <w:t>在仲裁及民事诉讼程序中一方当事人地址变更时，该方当事人还应当向仲裁机构、法院履行送达地址变更通知义务。</w:t>
      </w:r>
    </w:p>
    <w:p>
      <w:pPr>
        <w:pStyle w:val="17"/>
        <w:adjustRightInd w:val="0"/>
        <w:snapToGrid w:val="0"/>
        <w:spacing w:after="156" w:afterLines="50" w:line="360" w:lineRule="exact"/>
        <w:ind w:left="709" w:firstLine="0" w:firstLineChars="0"/>
        <w:outlineLvl w:val="1"/>
        <w:rPr>
          <w:rFonts w:ascii="楷体" w:hAnsi="楷体" w:eastAsia="楷体"/>
          <w:b w:val="0"/>
          <w:color w:val="000000"/>
        </w:rPr>
      </w:pPr>
      <w:r>
        <w:rPr>
          <w:rFonts w:ascii="楷体" w:hAnsi="楷体" w:eastAsia="楷体"/>
          <w:b w:val="0"/>
          <w:color w:val="000000"/>
        </w:rPr>
        <w:t>一方未按前述方式履行通知义务，双方所确认的送达地址仍视为有效送达地址，因当事人提供或者确认的送达地址不准确、送达地址变更后未及时依程序告知其他方和法院、当事人或指定的接收人拒绝签收等原因，导致法律文书未能被当事人实际接收的，下列日期视为送达日：（1）直接送达的，送达人实际送交至上述地址之日为送达日；（2）挂号信邮寄送达的，以发出通知一方持有的挂号信回执所示的送达日为送达日；（3）特快专递方式送达的，收件人签收日为送达日；收件人未签收的，以寄出日后第4个工作日为送达日；（4）如采取传真方式，以收到传真成功发送确认报告之日为送达日，如果发出日不是收件人一方的工作日，则以其下一个工作日为送达日。</w:t>
      </w:r>
    </w:p>
    <w:p>
      <w:pPr>
        <w:pStyle w:val="17"/>
        <w:adjustRightInd w:val="0"/>
        <w:snapToGrid w:val="0"/>
        <w:spacing w:after="156" w:afterLines="50" w:line="360" w:lineRule="exact"/>
        <w:ind w:left="709" w:firstLine="0" w:firstLineChars="0"/>
        <w:outlineLvl w:val="1"/>
        <w:rPr>
          <w:rFonts w:ascii="楷体" w:hAnsi="楷体" w:eastAsia="楷体"/>
          <w:b w:val="0"/>
          <w:color w:val="000000"/>
        </w:rPr>
      </w:pPr>
      <w:r>
        <w:rPr>
          <w:rFonts w:ascii="楷体" w:hAnsi="楷体" w:eastAsia="楷体"/>
          <w:b w:val="0"/>
          <w:color w:val="000000"/>
        </w:rPr>
        <w:t>履行送达地址变更通知义务的，以变更后的送达地址为有效送达地址。</w:t>
      </w:r>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双方在本合同明确约定的送达地址，仲裁机构或法院进行送达时可直接邮寄送达，即使当事人未能收到法院邮寄送达的文书，由于其在本合同的约定，也应当视为送达。纠纷进入仲裁、诉讼程序后，如一方应诉并直接向仲裁机构、法院提交送达地址确认书，该确认地址与诉前确认的送达地址不一致的，以向仲裁机构、法院提交确认的送达地址为准。</w:t>
      </w:r>
    </w:p>
    <w:p>
      <w:pPr>
        <w:pStyle w:val="17"/>
        <w:numPr>
          <w:ilvl w:val="0"/>
          <w:numId w:val="2"/>
        </w:numPr>
        <w:adjustRightInd w:val="0"/>
        <w:snapToGrid w:val="0"/>
        <w:spacing w:before="0" w:beforeLines="0" w:after="156" w:afterLines="50" w:line="360" w:lineRule="exact"/>
        <w:ind w:firstLineChars="0"/>
        <w:outlineLvl w:val="0"/>
        <w:rPr>
          <w:rFonts w:ascii="楷体" w:hAnsi="楷体" w:eastAsia="楷体"/>
          <w:color w:val="000000"/>
        </w:rPr>
      </w:pPr>
      <w:bookmarkStart w:id="68" w:name="_Toc467427796"/>
      <w:bookmarkStart w:id="69" w:name="_Toc26083"/>
      <w:bookmarkStart w:id="70" w:name="_Toc26471"/>
      <w:bookmarkStart w:id="71" w:name="_Toc533512286"/>
      <w:bookmarkStart w:id="72" w:name="_Toc494284920"/>
      <w:bookmarkStart w:id="73" w:name="_Toc494225894"/>
      <w:r>
        <w:rPr>
          <w:rFonts w:ascii="楷体" w:hAnsi="楷体" w:eastAsia="楷体"/>
          <w:color w:val="000000"/>
        </w:rPr>
        <w:t>法律适用和争议解决</w:t>
      </w:r>
      <w:bookmarkEnd w:id="68"/>
      <w:bookmarkEnd w:id="69"/>
      <w:bookmarkEnd w:id="70"/>
      <w:bookmarkEnd w:id="71"/>
      <w:bookmarkEnd w:id="72"/>
      <w:bookmarkEnd w:id="73"/>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本合同适用中国法律，并依其解释。</w:t>
      </w:r>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bCs w:val="0"/>
          <w:color w:val="000000"/>
        </w:rPr>
        <w:t>因本合同引起的或与本合同有关的任何争议，双方可通过友好协商解决，协商不成的，提交深圳国际仲裁院（深圳仲裁委员会）在深圳市按其届时有效的仲裁规则作出有拘束力的仲裁裁决。</w:t>
      </w:r>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在本合同争议解决期间，除争议事项外，双方应继续履行本合同的其他条款。</w:t>
      </w:r>
    </w:p>
    <w:p>
      <w:pPr>
        <w:pStyle w:val="17"/>
        <w:numPr>
          <w:ilvl w:val="0"/>
          <w:numId w:val="2"/>
        </w:numPr>
        <w:adjustRightInd w:val="0"/>
        <w:snapToGrid w:val="0"/>
        <w:spacing w:before="0" w:beforeLines="0" w:after="156" w:afterLines="50" w:line="360" w:lineRule="exact"/>
        <w:ind w:firstLineChars="0"/>
        <w:outlineLvl w:val="0"/>
        <w:rPr>
          <w:rFonts w:ascii="楷体" w:hAnsi="楷体" w:eastAsia="楷体"/>
          <w:color w:val="000000"/>
        </w:rPr>
      </w:pPr>
      <w:bookmarkStart w:id="74" w:name="_Toc467427797"/>
      <w:bookmarkStart w:id="75" w:name="_Toc22789"/>
      <w:bookmarkStart w:id="76" w:name="_Toc533512287"/>
      <w:bookmarkStart w:id="77" w:name="_Toc10407"/>
      <w:bookmarkStart w:id="78" w:name="_Toc494225895"/>
      <w:bookmarkStart w:id="79" w:name="_Toc494284921"/>
      <w:r>
        <w:rPr>
          <w:rFonts w:ascii="楷体" w:hAnsi="楷体" w:eastAsia="楷体"/>
          <w:color w:val="000000"/>
        </w:rPr>
        <w:t>其他</w:t>
      </w:r>
      <w:bookmarkEnd w:id="74"/>
      <w:bookmarkEnd w:id="75"/>
      <w:bookmarkEnd w:id="76"/>
      <w:bookmarkEnd w:id="77"/>
      <w:bookmarkEnd w:id="78"/>
      <w:bookmarkEnd w:id="79"/>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本合同的任何条款根据适用法律被确定为无效、违法或不能执行，均不影响本合同其他条款的有效性、合法性及可执行性。如果本合同的任何约定依现行法律被确定为无效或无法实施，双方将以有效的约定替换该约定，且该有效约定应尽可能接近原约定和本合同相应的目的和精神。</w:t>
      </w:r>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本合同自甲、乙双方法定代表人（负责人）签字（或盖章）并加盖双方公章之日起成立并生效。</w:t>
      </w:r>
    </w:p>
    <w:p>
      <w:pPr>
        <w:pStyle w:val="17"/>
        <w:numPr>
          <w:ilvl w:val="1"/>
          <w:numId w:val="2"/>
        </w:numPr>
        <w:adjustRightInd w:val="0"/>
        <w:snapToGrid w:val="0"/>
        <w:spacing w:before="0" w:beforeLines="0" w:after="156" w:afterLines="50" w:line="360" w:lineRule="exact"/>
        <w:ind w:firstLineChars="0"/>
        <w:outlineLvl w:val="1"/>
        <w:rPr>
          <w:rFonts w:ascii="楷体" w:hAnsi="楷体" w:eastAsia="楷体"/>
          <w:b w:val="0"/>
          <w:color w:val="000000"/>
        </w:rPr>
      </w:pPr>
      <w:r>
        <w:rPr>
          <w:rFonts w:ascii="楷体" w:hAnsi="楷体" w:eastAsia="楷体"/>
          <w:b w:val="0"/>
          <w:color w:val="000000"/>
        </w:rPr>
        <w:t>本合同正本一式</w:t>
      </w:r>
      <w:r>
        <w:rPr>
          <w:rFonts w:ascii="楷体" w:hAnsi="楷体" w:eastAsia="楷体" w:cs="楷体"/>
          <w:b w:val="0"/>
          <w:bCs w:val="0"/>
          <w:shd w:val="pct10" w:color="auto" w:fill="FFFFFF"/>
        </w:rPr>
        <w:t>肆</w:t>
      </w:r>
      <w:r>
        <w:rPr>
          <w:rFonts w:ascii="楷体" w:hAnsi="楷体" w:eastAsia="楷体"/>
          <w:b w:val="0"/>
          <w:color w:val="000000"/>
        </w:rPr>
        <w:t>份，双方各执</w:t>
      </w:r>
      <w:r>
        <w:rPr>
          <w:rFonts w:ascii="楷体" w:hAnsi="楷体" w:eastAsia="楷体" w:cs="楷体"/>
          <w:b w:val="0"/>
          <w:bCs w:val="0"/>
          <w:shd w:val="pct10" w:color="auto" w:fill="FFFFFF"/>
        </w:rPr>
        <w:t>贰</w:t>
      </w:r>
      <w:r>
        <w:rPr>
          <w:rFonts w:ascii="楷体" w:hAnsi="楷体" w:eastAsia="楷体"/>
          <w:b w:val="0"/>
          <w:color w:val="000000"/>
        </w:rPr>
        <w:t>份，每份具有同等法律效力。</w:t>
      </w:r>
    </w:p>
    <w:p>
      <w:pPr>
        <w:pStyle w:val="17"/>
        <w:numPr>
          <w:ilvl w:val="0"/>
          <w:numId w:val="2"/>
        </w:numPr>
        <w:adjustRightInd w:val="0"/>
        <w:snapToGrid w:val="0"/>
        <w:spacing w:before="0" w:beforeLines="0" w:after="156" w:afterLines="50" w:line="360" w:lineRule="exact"/>
        <w:ind w:firstLineChars="0"/>
        <w:outlineLvl w:val="0"/>
        <w:rPr>
          <w:rFonts w:ascii="楷体" w:hAnsi="楷体" w:eastAsia="楷体"/>
          <w:color w:val="000000"/>
        </w:rPr>
      </w:pPr>
      <w:bookmarkStart w:id="80" w:name="_Toc473908128"/>
      <w:bookmarkStart w:id="81" w:name="_Toc494284922"/>
      <w:bookmarkStart w:id="82" w:name="_Toc494225896"/>
      <w:bookmarkStart w:id="83" w:name="_Toc533512288"/>
      <w:bookmarkStart w:id="84" w:name="_Toc16601"/>
      <w:bookmarkStart w:id="85" w:name="_Toc3906"/>
      <w:r>
        <w:rPr>
          <w:rFonts w:ascii="楷体" w:hAnsi="楷体" w:eastAsia="楷体"/>
          <w:color w:val="000000"/>
        </w:rPr>
        <w:t>本合同附件</w:t>
      </w:r>
      <w:bookmarkEnd w:id="80"/>
      <w:bookmarkEnd w:id="81"/>
      <w:bookmarkEnd w:id="82"/>
      <w:bookmarkEnd w:id="83"/>
      <w:bookmarkEnd w:id="84"/>
      <w:bookmarkEnd w:id="85"/>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本合同包括以下附件：</w:t>
      </w:r>
    </w:p>
    <w:p>
      <w:pPr>
        <w:pStyle w:val="17"/>
        <w:adjustRightInd w:val="0"/>
        <w:snapToGrid w:val="0"/>
        <w:spacing w:after="156" w:afterLines="50" w:line="360" w:lineRule="exact"/>
        <w:ind w:left="709" w:firstLine="0" w:firstLineChars="0"/>
        <w:outlineLvl w:val="1"/>
        <w:rPr>
          <w:rFonts w:ascii="楷体" w:hAnsi="楷体" w:eastAsia="楷体"/>
          <w:b w:val="0"/>
          <w:color w:val="000000"/>
        </w:rPr>
      </w:pPr>
      <w:r>
        <w:rPr>
          <w:rFonts w:ascii="楷体" w:hAnsi="楷体" w:eastAsia="楷体"/>
          <w:b w:val="0"/>
          <w:color w:val="000000"/>
        </w:rPr>
        <w:t>附件1  标的债权清单</w:t>
      </w:r>
    </w:p>
    <w:p>
      <w:pPr>
        <w:pStyle w:val="17"/>
        <w:numPr>
          <w:ilvl w:val="1"/>
          <w:numId w:val="2"/>
        </w:numPr>
        <w:adjustRightInd w:val="0"/>
        <w:snapToGrid w:val="0"/>
        <w:spacing w:after="156" w:afterLines="50" w:line="360" w:lineRule="exact"/>
        <w:ind w:firstLineChars="0"/>
        <w:outlineLvl w:val="1"/>
        <w:rPr>
          <w:rFonts w:ascii="楷体" w:hAnsi="楷体" w:eastAsia="楷体"/>
          <w:b w:val="0"/>
          <w:color w:val="000000"/>
        </w:rPr>
      </w:pPr>
      <w:r>
        <w:rPr>
          <w:rFonts w:ascii="楷体" w:hAnsi="楷体" w:eastAsia="楷体"/>
          <w:b w:val="0"/>
          <w:color w:val="000000"/>
        </w:rPr>
        <w:t>附件作为本合同不可分割的组成部分，与本合同具有同等效力。</w:t>
      </w:r>
    </w:p>
    <w:p>
      <w:pPr>
        <w:spacing w:after="156" w:afterLines="50" w:line="360" w:lineRule="exact"/>
        <w:rPr>
          <w:rFonts w:ascii="楷体" w:hAnsi="楷体" w:eastAsia="楷体"/>
          <w:color w:val="000000"/>
          <w:sz w:val="24"/>
          <w:szCs w:val="24"/>
        </w:rPr>
      </w:pPr>
      <w:r>
        <w:rPr>
          <w:rFonts w:ascii="楷体" w:hAnsi="楷体" w:eastAsia="楷体"/>
          <w:color w:val="000000"/>
          <w:sz w:val="24"/>
          <w:szCs w:val="24"/>
        </w:rPr>
        <w:t>（以下无正文）</w:t>
      </w:r>
    </w:p>
    <w:p>
      <w:pPr>
        <w:spacing w:after="156" w:afterLines="50"/>
        <w:rPr>
          <w:rFonts w:ascii="楷体" w:hAnsi="楷体" w:eastAsia="楷体"/>
          <w:color w:val="000000"/>
          <w:sz w:val="24"/>
          <w:szCs w:val="24"/>
        </w:rPr>
      </w:pPr>
      <w:r>
        <w:rPr>
          <w:rFonts w:ascii="楷体" w:hAnsi="楷体" w:eastAsia="楷体"/>
          <w:b/>
          <w:bCs/>
          <w:color w:val="000000"/>
          <w:sz w:val="24"/>
          <w:szCs w:val="24"/>
        </w:rPr>
        <w:br w:type="page"/>
      </w:r>
      <w:r>
        <w:rPr>
          <w:rFonts w:ascii="楷体" w:hAnsi="楷体" w:eastAsia="楷体"/>
          <w:color w:val="000000"/>
          <w:sz w:val="24"/>
          <w:szCs w:val="24"/>
        </w:rPr>
        <w:t>（本页无正文，为《债权资产转让合同》签字盖章页）</w:t>
      </w:r>
    </w:p>
    <w:p>
      <w:pPr>
        <w:spacing w:after="156" w:afterLines="50"/>
        <w:rPr>
          <w:rFonts w:ascii="楷体" w:hAnsi="楷体" w:eastAsia="楷体"/>
          <w:color w:val="000000"/>
          <w:sz w:val="24"/>
          <w:szCs w:val="24"/>
        </w:rPr>
      </w:pPr>
    </w:p>
    <w:p>
      <w:pPr>
        <w:spacing w:after="156" w:afterLines="50" w:line="360" w:lineRule="exact"/>
        <w:rPr>
          <w:rFonts w:ascii="楷体" w:hAnsi="楷体" w:eastAsia="楷体"/>
          <w:color w:val="000000"/>
          <w:sz w:val="24"/>
          <w:szCs w:val="24"/>
        </w:rPr>
      </w:pPr>
    </w:p>
    <w:p>
      <w:pPr>
        <w:spacing w:after="156" w:afterLines="50" w:line="360" w:lineRule="exact"/>
        <w:rPr>
          <w:rFonts w:ascii="楷体" w:hAnsi="楷体" w:eastAsia="楷体"/>
          <w:color w:val="000000"/>
          <w:sz w:val="24"/>
          <w:szCs w:val="24"/>
        </w:rPr>
      </w:pPr>
    </w:p>
    <w:p>
      <w:pPr>
        <w:spacing w:after="156" w:afterLines="50" w:line="360" w:lineRule="exact"/>
        <w:outlineLvl w:val="0"/>
        <w:rPr>
          <w:rFonts w:ascii="楷体" w:hAnsi="楷体" w:eastAsia="楷体"/>
          <w:b/>
          <w:color w:val="000000"/>
          <w:sz w:val="24"/>
          <w:szCs w:val="24"/>
        </w:rPr>
      </w:pPr>
      <w:r>
        <w:rPr>
          <w:rFonts w:ascii="楷体" w:hAnsi="楷体" w:eastAsia="楷体"/>
          <w:b/>
          <w:color w:val="000000"/>
          <w:sz w:val="24"/>
          <w:szCs w:val="24"/>
        </w:rPr>
        <w:t>甲方（公章）：</w:t>
      </w:r>
      <w:r>
        <w:rPr>
          <w:rFonts w:hint="eastAsia" w:ascii="楷体" w:hAnsi="楷体" w:eastAsia="楷体"/>
          <w:b/>
          <w:color w:val="000000"/>
          <w:sz w:val="24"/>
          <w:szCs w:val="24"/>
        </w:rPr>
        <w:t>深圳市招平申城</w:t>
      </w:r>
      <w:r>
        <w:rPr>
          <w:rFonts w:hint="eastAsia" w:ascii="楷体" w:hAnsi="楷体" w:eastAsia="楷体"/>
          <w:b/>
          <w:color w:val="000000"/>
          <w:sz w:val="24"/>
          <w:szCs w:val="24"/>
          <w:lang w:val="en-US" w:eastAsia="zh-CN"/>
        </w:rPr>
        <w:t>五</w:t>
      </w:r>
      <w:r>
        <w:rPr>
          <w:rFonts w:hint="eastAsia" w:ascii="楷体" w:hAnsi="楷体" w:eastAsia="楷体"/>
          <w:b/>
          <w:color w:val="000000"/>
          <w:sz w:val="24"/>
          <w:szCs w:val="24"/>
        </w:rPr>
        <w:t>号投资中心（有限合伙）</w:t>
      </w:r>
    </w:p>
    <w:p>
      <w:pPr>
        <w:pStyle w:val="10"/>
        <w:tabs>
          <w:tab w:val="left" w:pos="980"/>
        </w:tabs>
        <w:spacing w:after="156" w:afterLines="50" w:line="360" w:lineRule="exact"/>
        <w:ind w:left="0"/>
        <w:rPr>
          <w:rFonts w:ascii="楷体" w:hAnsi="楷体" w:eastAsia="楷体"/>
          <w:b/>
          <w:color w:val="000000"/>
          <w:szCs w:val="24"/>
        </w:rPr>
      </w:pPr>
    </w:p>
    <w:p>
      <w:pPr>
        <w:pStyle w:val="10"/>
        <w:tabs>
          <w:tab w:val="left" w:pos="980"/>
        </w:tabs>
        <w:spacing w:after="156" w:afterLines="50" w:line="360" w:lineRule="exact"/>
        <w:ind w:left="0"/>
        <w:rPr>
          <w:rFonts w:ascii="楷体" w:hAnsi="楷体" w:eastAsia="楷体"/>
          <w:bCs/>
          <w:color w:val="000000"/>
          <w:szCs w:val="24"/>
        </w:rPr>
      </w:pPr>
      <w:r>
        <w:rPr>
          <w:rFonts w:hint="eastAsia" w:ascii="楷体" w:hAnsi="楷体" w:eastAsia="楷体"/>
          <w:bCs/>
          <w:color w:val="000000"/>
          <w:szCs w:val="24"/>
        </w:rPr>
        <w:t>执行事务合伙人委派代表</w:t>
      </w:r>
      <w:r>
        <w:rPr>
          <w:rFonts w:ascii="楷体" w:hAnsi="楷体" w:eastAsia="楷体"/>
          <w:bCs/>
          <w:color w:val="000000"/>
          <w:szCs w:val="24"/>
        </w:rPr>
        <w:t>（签章）：</w:t>
      </w:r>
    </w:p>
    <w:p>
      <w:pPr>
        <w:pStyle w:val="10"/>
        <w:tabs>
          <w:tab w:val="left" w:pos="980"/>
        </w:tabs>
        <w:spacing w:after="156" w:afterLines="50" w:line="360" w:lineRule="exact"/>
        <w:ind w:left="0"/>
        <w:rPr>
          <w:rFonts w:ascii="楷体" w:hAnsi="楷体" w:eastAsia="楷体"/>
          <w:b/>
          <w:color w:val="000000"/>
          <w:szCs w:val="24"/>
        </w:rPr>
      </w:pPr>
    </w:p>
    <w:p>
      <w:pPr>
        <w:pStyle w:val="10"/>
        <w:tabs>
          <w:tab w:val="left" w:pos="980"/>
        </w:tabs>
        <w:spacing w:after="156" w:afterLines="50" w:line="360" w:lineRule="exact"/>
        <w:ind w:left="0"/>
        <w:rPr>
          <w:rFonts w:ascii="楷体" w:hAnsi="楷体" w:eastAsia="楷体"/>
          <w:b/>
          <w:color w:val="000000"/>
          <w:szCs w:val="24"/>
        </w:rPr>
      </w:pPr>
    </w:p>
    <w:p>
      <w:pPr>
        <w:pStyle w:val="10"/>
        <w:tabs>
          <w:tab w:val="left" w:pos="980"/>
        </w:tabs>
        <w:spacing w:after="156" w:afterLines="50" w:line="360" w:lineRule="exact"/>
        <w:ind w:left="0"/>
        <w:rPr>
          <w:rFonts w:ascii="楷体" w:hAnsi="楷体" w:eastAsia="楷体"/>
          <w:b/>
          <w:color w:val="000000"/>
          <w:szCs w:val="24"/>
        </w:rPr>
      </w:pPr>
    </w:p>
    <w:p>
      <w:pPr>
        <w:spacing w:after="156" w:afterLines="50" w:line="360" w:lineRule="exact"/>
        <w:rPr>
          <w:rFonts w:ascii="楷体" w:hAnsi="楷体" w:eastAsia="楷体"/>
          <w:color w:val="000000"/>
          <w:sz w:val="24"/>
          <w:szCs w:val="24"/>
        </w:rPr>
      </w:pPr>
    </w:p>
    <w:p>
      <w:pPr>
        <w:pStyle w:val="10"/>
        <w:tabs>
          <w:tab w:val="left" w:pos="980"/>
        </w:tabs>
        <w:spacing w:after="156" w:afterLines="50" w:line="360" w:lineRule="exact"/>
        <w:ind w:left="0"/>
        <w:rPr>
          <w:rFonts w:ascii="楷体" w:hAnsi="楷体" w:eastAsia="楷体"/>
          <w:b/>
          <w:color w:val="000000"/>
          <w:szCs w:val="24"/>
        </w:rPr>
      </w:pPr>
    </w:p>
    <w:p>
      <w:pPr>
        <w:pStyle w:val="10"/>
        <w:tabs>
          <w:tab w:val="left" w:pos="980"/>
        </w:tabs>
        <w:spacing w:after="156" w:afterLines="50" w:line="360" w:lineRule="exact"/>
        <w:ind w:left="0"/>
        <w:rPr>
          <w:rFonts w:ascii="楷体" w:hAnsi="楷体" w:eastAsia="楷体"/>
          <w:b/>
          <w:color w:val="000000"/>
          <w:szCs w:val="24"/>
        </w:rPr>
      </w:pPr>
    </w:p>
    <w:p>
      <w:pPr>
        <w:pStyle w:val="10"/>
        <w:tabs>
          <w:tab w:val="left" w:pos="980"/>
        </w:tabs>
        <w:spacing w:after="156" w:afterLines="50" w:line="360" w:lineRule="exact"/>
        <w:ind w:left="0"/>
        <w:rPr>
          <w:rFonts w:ascii="楷体" w:hAnsi="楷体" w:eastAsia="楷体"/>
          <w:b/>
          <w:color w:val="000000"/>
          <w:szCs w:val="24"/>
        </w:rPr>
      </w:pPr>
    </w:p>
    <w:p>
      <w:pPr>
        <w:pStyle w:val="10"/>
        <w:tabs>
          <w:tab w:val="left" w:pos="980"/>
        </w:tabs>
        <w:spacing w:after="156" w:afterLines="50" w:line="360" w:lineRule="exact"/>
        <w:ind w:left="0"/>
        <w:rPr>
          <w:rFonts w:ascii="楷体" w:hAnsi="楷体" w:eastAsia="楷体"/>
          <w:b/>
          <w:color w:val="000000"/>
          <w:szCs w:val="24"/>
        </w:rPr>
      </w:pPr>
      <w:bookmarkStart w:id="86" w:name="_Toc4928"/>
      <w:bookmarkStart w:id="87" w:name="_Toc21614"/>
      <w:bookmarkStart w:id="88" w:name="_Toc533512289"/>
      <w:bookmarkStart w:id="89" w:name="_Toc494284923"/>
      <w:bookmarkStart w:id="90" w:name="_Toc494225897"/>
      <w:bookmarkStart w:id="91" w:name="_Toc494285643"/>
      <w:bookmarkStart w:id="92" w:name="_Toc473908129"/>
      <w:r>
        <w:rPr>
          <w:rFonts w:ascii="楷体" w:hAnsi="楷体" w:eastAsia="楷体"/>
          <w:b/>
          <w:color w:val="000000"/>
          <w:szCs w:val="24"/>
        </w:rPr>
        <w:t>乙方（公章）：</w:t>
      </w:r>
    </w:p>
    <w:p>
      <w:pPr>
        <w:pStyle w:val="10"/>
        <w:tabs>
          <w:tab w:val="left" w:pos="980"/>
        </w:tabs>
        <w:spacing w:after="156" w:afterLines="50" w:line="360" w:lineRule="exact"/>
        <w:ind w:left="0"/>
        <w:rPr>
          <w:rFonts w:ascii="楷体" w:hAnsi="楷体" w:eastAsia="楷体"/>
          <w:bCs/>
          <w:color w:val="000000"/>
          <w:szCs w:val="24"/>
        </w:rPr>
      </w:pPr>
      <w:r>
        <w:rPr>
          <w:rFonts w:ascii="楷体" w:hAnsi="楷体" w:eastAsia="楷体"/>
          <w:bCs/>
          <w:color w:val="000000"/>
          <w:szCs w:val="24"/>
        </w:rPr>
        <w:t>法定代表人/负责人（签章）：</w:t>
      </w:r>
    </w:p>
    <w:p>
      <w:pPr>
        <w:pStyle w:val="17"/>
        <w:adjustRightInd w:val="0"/>
        <w:snapToGrid w:val="0"/>
        <w:spacing w:before="0" w:beforeLines="0" w:after="312" w:afterLines="100" w:line="300" w:lineRule="auto"/>
        <w:ind w:firstLine="0" w:firstLineChars="0"/>
        <w:rPr>
          <w:rFonts w:ascii="楷体" w:hAnsi="楷体" w:eastAsia="楷体"/>
          <w:color w:val="000000"/>
        </w:rPr>
      </w:pPr>
    </w:p>
    <w:p>
      <w:pPr>
        <w:pStyle w:val="17"/>
        <w:adjustRightInd w:val="0"/>
        <w:snapToGrid w:val="0"/>
        <w:spacing w:before="0" w:beforeLines="0" w:after="312" w:afterLines="100" w:line="300" w:lineRule="auto"/>
        <w:ind w:firstLine="0" w:firstLineChars="0"/>
        <w:rPr>
          <w:rFonts w:ascii="楷体" w:hAnsi="楷体" w:eastAsia="楷体"/>
          <w:color w:val="000000"/>
          <w:lang w:val="en-US" w:eastAsia="zh-CN"/>
        </w:rPr>
        <w:sectPr>
          <w:footerReference r:id="rId3" w:type="default"/>
          <w:footerReference r:id="rId4" w:type="even"/>
          <w:pgSz w:w="11907" w:h="16839"/>
          <w:pgMar w:top="1440" w:right="1984" w:bottom="1440" w:left="1800" w:header="0" w:footer="0" w:gutter="0"/>
          <w:pgNumType w:start="1"/>
          <w:cols w:space="720" w:num="1"/>
          <w:docGrid w:type="lines" w:linePitch="312" w:charSpace="0"/>
        </w:sectPr>
      </w:pPr>
    </w:p>
    <w:p>
      <w:pPr>
        <w:pStyle w:val="17"/>
        <w:adjustRightInd w:val="0"/>
        <w:snapToGrid w:val="0"/>
        <w:spacing w:before="0" w:beforeLines="0" w:after="156" w:afterLines="50" w:line="360" w:lineRule="exact"/>
        <w:ind w:firstLine="0" w:firstLineChars="0"/>
        <w:outlineLvl w:val="0"/>
        <w:rPr>
          <w:rFonts w:ascii="楷体" w:hAnsi="楷体" w:eastAsia="楷体"/>
          <w:color w:val="000000"/>
        </w:rPr>
      </w:pPr>
      <w:r>
        <w:rPr>
          <w:rFonts w:ascii="楷体" w:hAnsi="楷体" w:eastAsia="楷体"/>
          <w:color w:val="000000"/>
        </w:rPr>
        <w:t>附件1  标的债权清单</w:t>
      </w:r>
      <w:bookmarkEnd w:id="86"/>
      <w:bookmarkEnd w:id="87"/>
      <w:bookmarkEnd w:id="88"/>
      <w:bookmarkEnd w:id="89"/>
      <w:bookmarkEnd w:id="90"/>
      <w:bookmarkEnd w:id="91"/>
      <w:bookmarkEnd w:id="92"/>
      <w:r>
        <w:rPr>
          <w:rFonts w:ascii="楷体" w:hAnsi="楷体" w:eastAsia="楷体"/>
          <w:color w:val="000000"/>
        </w:rPr>
        <w:t xml:space="preserve">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250"/>
        <w:gridCol w:w="1861"/>
        <w:gridCol w:w="180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06" w:type="pct"/>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349"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债务人</w:t>
            </w:r>
          </w:p>
        </w:tc>
        <w:tc>
          <w:tcPr>
            <w:tcW w:w="1116"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债权本金（万元）</w:t>
            </w:r>
          </w:p>
        </w:tc>
        <w:tc>
          <w:tcPr>
            <w:tcW w:w="1085" w:type="pct"/>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债权利息（万元）</w:t>
            </w:r>
          </w:p>
        </w:tc>
        <w:tc>
          <w:tcPr>
            <w:tcW w:w="1043" w:type="pct"/>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债权总额（万元）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06" w:type="pct"/>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w:t>
            </w:r>
          </w:p>
        </w:tc>
        <w:tc>
          <w:tcPr>
            <w:tcW w:w="1349" w:type="pct"/>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天长市天凌塑业有限公司</w:t>
            </w:r>
          </w:p>
        </w:tc>
        <w:tc>
          <w:tcPr>
            <w:tcW w:w="1116" w:type="pct"/>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180.55</w:t>
            </w:r>
          </w:p>
        </w:tc>
        <w:tc>
          <w:tcPr>
            <w:tcW w:w="1085" w:type="pct"/>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224.62</w:t>
            </w:r>
          </w:p>
        </w:tc>
        <w:tc>
          <w:tcPr>
            <w:tcW w:w="1043" w:type="pct"/>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55" w:type="pct"/>
            <w:gridSpan w:val="2"/>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合计</w:t>
            </w:r>
          </w:p>
        </w:tc>
        <w:tc>
          <w:tcPr>
            <w:tcW w:w="1116"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ascii="Times New Roman" w:hAnsi="Times New Roman" w:cs="Times New Roman"/>
                <w:b/>
                <w:bCs/>
                <w:color w:val="000000"/>
                <w:kern w:val="0"/>
                <w:sz w:val="21"/>
                <w:szCs w:val="21"/>
              </w:rPr>
              <w:t>180.55</w:t>
            </w:r>
          </w:p>
        </w:tc>
        <w:tc>
          <w:tcPr>
            <w:tcW w:w="1085"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highlight w:val="none"/>
                <w:u w:val="none"/>
                <w:lang w:val="en-US" w:eastAsia="zh-CN" w:bidi="ar"/>
              </w:rPr>
              <w:t>224.62</w:t>
            </w:r>
          </w:p>
        </w:tc>
        <w:tc>
          <w:tcPr>
            <w:tcW w:w="1043" w:type="pct"/>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2"/>
                <w:sz w:val="21"/>
                <w:szCs w:val="21"/>
                <w:u w:val="none"/>
                <w:lang w:val="en-US" w:eastAsia="zh-CN" w:bidi="ar-SA"/>
              </w:rPr>
              <w:t>405.17</w:t>
            </w:r>
          </w:p>
        </w:tc>
      </w:tr>
    </w:tbl>
    <w:p>
      <w:pPr>
        <w:spacing w:after="156" w:afterLines="50" w:line="360" w:lineRule="exact"/>
        <w:ind w:firstLine="480" w:firstLineChars="200"/>
        <w:rPr>
          <w:rFonts w:ascii="楷体" w:hAnsi="楷体" w:eastAsia="楷体"/>
          <w:bCs/>
          <w:color w:val="000000"/>
          <w:sz w:val="24"/>
          <w:szCs w:val="24"/>
        </w:rPr>
      </w:pPr>
      <w:r>
        <w:rPr>
          <w:rFonts w:hint="eastAsia" w:ascii="楷体" w:hAnsi="楷体" w:eastAsia="楷体"/>
          <w:bCs/>
          <w:color w:val="000000"/>
          <w:sz w:val="24"/>
          <w:szCs w:val="24"/>
        </w:rPr>
        <w:t>注：标的清单仅列示截至基准日的债权本金、利息余额（利息金额为账面金额，最终以法院支持或实际追偿到的为准），基准日后债务人和担保人应支付的利息、违约金、相关费用等按照相关合同协议、生效法律文书及法律法规的规定计算。</w:t>
      </w:r>
    </w:p>
    <w:p>
      <w:pPr>
        <w:spacing w:after="156" w:afterLines="50" w:line="360" w:lineRule="exact"/>
        <w:rPr>
          <w:rFonts w:ascii="楷体" w:hAnsi="楷体" w:eastAsia="楷体"/>
          <w:bCs/>
          <w:color w:val="000000"/>
          <w:sz w:val="24"/>
          <w:szCs w:val="24"/>
        </w:rPr>
      </w:pPr>
    </w:p>
    <w:p>
      <w:pPr>
        <w:spacing w:after="156" w:afterLines="50" w:line="360" w:lineRule="exact"/>
        <w:rPr>
          <w:rFonts w:hint="eastAsia" w:ascii="楷体" w:hAnsi="楷体" w:eastAsia="楷体"/>
          <w:bCs/>
          <w:color w:val="000000"/>
          <w:sz w:val="24"/>
          <w:szCs w:val="24"/>
        </w:rPr>
      </w:pPr>
    </w:p>
    <w:p>
      <w:pPr>
        <w:spacing w:after="156" w:afterLines="50" w:line="360" w:lineRule="exact"/>
        <w:rPr>
          <w:rFonts w:hint="eastAsia" w:ascii="楷体" w:hAnsi="楷体" w:eastAsia="楷体"/>
          <w:bCs/>
          <w:color w:val="000000"/>
          <w:sz w:val="24"/>
          <w:szCs w:val="24"/>
          <w:u w:val="single"/>
        </w:rPr>
      </w:pPr>
      <w:r>
        <w:rPr>
          <w:rFonts w:hint="eastAsia" w:ascii="楷体" w:hAnsi="楷体" w:eastAsia="楷体" w:cs="楷体"/>
          <w:sz w:val="24"/>
          <w:szCs w:val="24"/>
          <w:shd w:val="pct10" w:color="auto" w:fill="FFFFFF"/>
        </w:rPr>
        <w:t>深圳市招平申城</w:t>
      </w:r>
      <w:r>
        <w:rPr>
          <w:rFonts w:hint="eastAsia" w:ascii="楷体" w:hAnsi="楷体" w:eastAsia="楷体" w:cs="楷体"/>
          <w:sz w:val="24"/>
          <w:szCs w:val="24"/>
          <w:shd w:val="pct10" w:color="auto" w:fill="FFFFFF"/>
          <w:lang w:val="en-US" w:eastAsia="zh-CN"/>
        </w:rPr>
        <w:t>五</w:t>
      </w:r>
      <w:r>
        <w:rPr>
          <w:rFonts w:hint="eastAsia" w:ascii="楷体" w:hAnsi="楷体" w:eastAsia="楷体" w:cs="楷体"/>
          <w:sz w:val="24"/>
          <w:szCs w:val="24"/>
          <w:shd w:val="pct10" w:color="auto" w:fill="FFFFFF"/>
        </w:rPr>
        <w:t>号投资中心（有限合伙）</w:t>
      </w:r>
      <w:r>
        <w:rPr>
          <w:rFonts w:ascii="楷体" w:hAnsi="楷体" w:eastAsia="楷体" w:cs="楷体"/>
          <w:sz w:val="24"/>
          <w:szCs w:val="24"/>
          <w:shd w:val="pct10" w:color="auto" w:fill="FFFFFF"/>
        </w:rPr>
        <w:t>（盖章）</w:t>
      </w:r>
    </w:p>
    <w:p>
      <w:pPr>
        <w:spacing w:after="156" w:afterLines="50" w:line="360" w:lineRule="exact"/>
        <w:rPr>
          <w:rFonts w:hint="eastAsia" w:ascii="楷体" w:hAnsi="楷体" w:eastAsia="楷体"/>
          <w:bCs/>
          <w:color w:val="000000"/>
          <w:sz w:val="24"/>
          <w:szCs w:val="24"/>
        </w:rPr>
      </w:pPr>
    </w:p>
    <w:p>
      <w:pPr>
        <w:spacing w:after="156" w:afterLines="50" w:line="360" w:lineRule="exact"/>
        <w:rPr>
          <w:rFonts w:ascii="楷体" w:hAnsi="楷体" w:eastAsia="楷体" w:cs="楷体"/>
          <w:sz w:val="24"/>
          <w:szCs w:val="24"/>
          <w:shd w:val="pct10" w:color="auto" w:fill="FFFFFF"/>
        </w:rPr>
      </w:pPr>
    </w:p>
    <w:p>
      <w:pPr>
        <w:spacing w:after="156" w:afterLines="50" w:line="360" w:lineRule="exact"/>
        <w:rPr>
          <w:rFonts w:ascii="楷体" w:hAnsi="楷体" w:eastAsia="楷体" w:cs="楷体"/>
          <w:sz w:val="24"/>
          <w:szCs w:val="24"/>
          <w:shd w:val="pct10" w:color="auto" w:fill="FFFFFF"/>
        </w:rPr>
      </w:pPr>
    </w:p>
    <w:p>
      <w:pPr>
        <w:spacing w:after="156" w:afterLines="50" w:line="360" w:lineRule="exact"/>
        <w:rPr>
          <w:rFonts w:ascii="楷体" w:hAnsi="楷体" w:eastAsia="楷体" w:cs="楷体"/>
          <w:sz w:val="24"/>
          <w:szCs w:val="24"/>
          <w:shd w:val="pct10" w:color="auto" w:fill="FFFFFF"/>
        </w:rPr>
      </w:pPr>
    </w:p>
    <w:p>
      <w:pPr>
        <w:rPr>
          <w:rFonts w:ascii="楷体" w:hAnsi="楷体" w:eastAsia="楷体"/>
          <w:kern w:val="2"/>
        </w:rPr>
      </w:pPr>
      <w:r>
        <w:rPr>
          <w:rFonts w:ascii="楷体" w:hAnsi="楷体" w:eastAsia="楷体" w:cs="楷体"/>
          <w:sz w:val="24"/>
          <w:szCs w:val="24"/>
          <w:shd w:val="pct10" w:color="auto" w:fill="FFFFFF"/>
        </w:rPr>
        <w:t xml:space="preserve"> </w:t>
      </w:r>
      <w:r>
        <w:rPr>
          <w:rFonts w:hint="eastAsia" w:ascii="楷体" w:hAnsi="楷体" w:eastAsia="楷体" w:cs="楷体"/>
          <w:sz w:val="24"/>
          <w:szCs w:val="24"/>
          <w:shd w:val="pct10" w:color="auto" w:fill="FFFFFF"/>
          <w:lang w:val="en-US" w:eastAsia="zh-CN"/>
        </w:rPr>
        <w:t xml:space="preserve">                         </w:t>
      </w:r>
      <w:r>
        <w:rPr>
          <w:rFonts w:ascii="楷体" w:hAnsi="楷体" w:eastAsia="楷体" w:cs="楷体"/>
          <w:sz w:val="24"/>
          <w:szCs w:val="24"/>
          <w:shd w:val="pct10" w:color="auto" w:fill="FFFFFF"/>
        </w:rPr>
        <w:t>（盖章）</w:t>
      </w:r>
    </w:p>
    <w:sectPr>
      <w:footerReference r:id="rId5" w:type="default"/>
      <w:pgSz w:w="11907" w:h="16839"/>
      <w:pgMar w:top="1440" w:right="1984" w:bottom="1440" w:left="1800" w:header="0" w:footer="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decorative"/>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 PAGE </w:instrText>
    </w:r>
    <w:r>
      <w:fldChar w:fldCharType="separate"/>
    </w:r>
    <w:r>
      <w:rPr>
        <w:rStyle w:val="24"/>
      </w:rPr>
      <w:t>1</w:t>
    </w:r>
    <w:r>
      <w:fldChar w:fldCharType="end"/>
    </w:r>
  </w:p>
  <w:p>
    <w:pPr>
      <w:pStyle w:val="12"/>
      <w:ind w:right="360"/>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 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 PAGE </w:instrText>
    </w:r>
    <w:r>
      <w:fldChar w:fldCharType="separate"/>
    </w:r>
    <w:r>
      <w:rPr>
        <w:rStyle w:val="24"/>
      </w:rPr>
      <w:t>3</w:t>
    </w:r>
    <w:r>
      <w:fldChar w:fldCharType="end"/>
    </w:r>
  </w:p>
  <w:p>
    <w:pPr>
      <w:pStyle w:val="12"/>
      <w:ind w:right="360"/>
      <w:jc w:val="center"/>
    </w:pP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F5D96"/>
    <w:multiLevelType w:val="multilevel"/>
    <w:tmpl w:val="1BDF5D96"/>
    <w:lvl w:ilvl="0" w:tentative="0">
      <w:start w:val="1"/>
      <w:numFmt w:val="decimal"/>
      <w:lvlText w:val="%1."/>
      <w:lvlJc w:val="left"/>
      <w:pPr>
        <w:tabs>
          <w:tab w:val="left" w:pos="709"/>
        </w:tabs>
        <w:ind w:left="709" w:hanging="709"/>
      </w:pPr>
      <w:rPr>
        <w:rFonts w:hint="default" w:ascii="楷体" w:hAnsi="楷体" w:eastAsia="楷体" w:cs="Times New Roman"/>
        <w:b w:val="0"/>
        <w:bCs/>
      </w:rPr>
    </w:lvl>
    <w:lvl w:ilvl="1" w:tentative="0">
      <w:start w:val="1"/>
      <w:numFmt w:val="decimal"/>
      <w:isLgl/>
      <w:lvlText w:val="%1.%2"/>
      <w:lvlJc w:val="left"/>
      <w:pPr>
        <w:tabs>
          <w:tab w:val="left" w:pos="709"/>
        </w:tabs>
        <w:ind w:left="709" w:hanging="709"/>
      </w:pPr>
      <w:rPr>
        <w:rFonts w:hint="default" w:ascii="Times New Roman" w:hAnsi="Times New Roman" w:cs="Times New Roman"/>
        <w:b w:val="0"/>
        <w:bCs w:val="0"/>
      </w:rPr>
    </w:lvl>
    <w:lvl w:ilvl="2" w:tentative="0">
      <w:start w:val="1"/>
      <w:numFmt w:val="decimal"/>
      <w:lvlText w:val="(%3)"/>
      <w:lvlJc w:val="left"/>
      <w:pPr>
        <w:tabs>
          <w:tab w:val="left" w:pos="1418"/>
        </w:tabs>
        <w:ind w:left="1418" w:hanging="709"/>
      </w:pPr>
      <w:rPr>
        <w:rFonts w:hint="default" w:ascii="Times New Roman" w:hAnsi="Times New Roman" w:cs="Times New Roman"/>
        <w:b w:val="0"/>
        <w:i w:val="0"/>
        <w:color w:val="auto"/>
      </w:rPr>
    </w:lvl>
    <w:lvl w:ilvl="3" w:tentative="0">
      <w:start w:val="1"/>
      <w:numFmt w:val="lowerLetter"/>
      <w:lvlText w:val="(%4)"/>
      <w:lvlJc w:val="left"/>
      <w:pPr>
        <w:tabs>
          <w:tab w:val="left" w:pos="1701"/>
        </w:tabs>
        <w:ind w:left="1701" w:hanging="454"/>
      </w:pPr>
      <w:rPr>
        <w:rFonts w:hint="default" w:ascii="Times New Roman" w:hAnsi="Times New Roman" w:cs="Times New Roman"/>
        <w:b w:val="0"/>
        <w:i w:val="0"/>
      </w:rPr>
    </w:lvl>
    <w:lvl w:ilvl="4" w:tentative="0">
      <w:start w:val="1"/>
      <w:numFmt w:val="lowerRoman"/>
      <w:lvlText w:val="(%5)"/>
      <w:lvlJc w:val="left"/>
      <w:pPr>
        <w:tabs>
          <w:tab w:val="left" w:pos="2268"/>
        </w:tabs>
        <w:ind w:left="2268" w:hanging="567"/>
      </w:pPr>
      <w:rPr>
        <w:rFonts w:hint="default" w:ascii="Arial" w:hAnsi="Arial" w:cs="Times New Roman"/>
        <w:b w:val="0"/>
      </w:rPr>
    </w:lvl>
    <w:lvl w:ilvl="5" w:tentative="0">
      <w:start w:val="1"/>
      <w:numFmt w:val="lowerRoman"/>
      <w:lvlText w:val="(%6)"/>
      <w:lvlJc w:val="left"/>
      <w:pPr>
        <w:tabs>
          <w:tab w:val="left" w:pos="2160"/>
        </w:tabs>
        <w:ind w:left="2160" w:hanging="360"/>
      </w:pPr>
      <w:rPr>
        <w:rFonts w:hint="eastAsia" w:cs="Times New Roman"/>
      </w:rPr>
    </w:lvl>
    <w:lvl w:ilvl="6" w:tentative="0">
      <w:start w:val="1"/>
      <w:numFmt w:val="decimal"/>
      <w:lvlText w:val="%7."/>
      <w:lvlJc w:val="left"/>
      <w:pPr>
        <w:tabs>
          <w:tab w:val="left" w:pos="2520"/>
        </w:tabs>
        <w:ind w:left="2520" w:hanging="360"/>
      </w:pPr>
      <w:rPr>
        <w:rFonts w:hint="eastAsia" w:cs="Times New Roman"/>
      </w:rPr>
    </w:lvl>
    <w:lvl w:ilvl="7" w:tentative="0">
      <w:start w:val="1"/>
      <w:numFmt w:val="lowerLetter"/>
      <w:lvlText w:val="%8."/>
      <w:lvlJc w:val="left"/>
      <w:pPr>
        <w:tabs>
          <w:tab w:val="left" w:pos="2880"/>
        </w:tabs>
        <w:ind w:left="2880" w:hanging="360"/>
      </w:pPr>
      <w:rPr>
        <w:rFonts w:hint="eastAsia" w:cs="Times New Roman"/>
      </w:rPr>
    </w:lvl>
    <w:lvl w:ilvl="8" w:tentative="0">
      <w:start w:val="1"/>
      <w:numFmt w:val="lowerRoman"/>
      <w:lvlText w:val="%9."/>
      <w:lvlJc w:val="left"/>
      <w:pPr>
        <w:tabs>
          <w:tab w:val="left" w:pos="3240"/>
        </w:tabs>
        <w:ind w:left="3240" w:hanging="360"/>
      </w:pPr>
      <w:rPr>
        <w:rFonts w:hint="eastAsia" w:cs="Times New Roman"/>
      </w:rPr>
    </w:lvl>
  </w:abstractNum>
  <w:abstractNum w:abstractNumId="1">
    <w:nsid w:val="235825F1"/>
    <w:multiLevelType w:val="multilevel"/>
    <w:tmpl w:val="235825F1"/>
    <w:lvl w:ilvl="0" w:tentative="0">
      <w:start w:val="1"/>
      <w:numFmt w:val="decimal"/>
      <w:lvlText w:val="2.3.%1"/>
      <w:lvlJc w:val="left"/>
      <w:pPr>
        <w:ind w:left="420" w:hanging="420"/>
      </w:pPr>
      <w:rPr>
        <w:rFonts w:hint="eastAsia" w:ascii="楷体" w:hAnsi="楷体"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52715D"/>
    <w:multiLevelType w:val="multilevel"/>
    <w:tmpl w:val="3752715D"/>
    <w:lvl w:ilvl="0" w:tentative="0">
      <w:start w:val="1"/>
      <w:numFmt w:val="decimal"/>
      <w:lvlText w:val="%1."/>
      <w:lvlJc w:val="left"/>
      <w:pPr>
        <w:tabs>
          <w:tab w:val="left" w:pos="709"/>
        </w:tabs>
        <w:ind w:left="709" w:hanging="709"/>
      </w:pPr>
      <w:rPr>
        <w:rFonts w:hint="default" w:ascii="楷体" w:hAnsi="楷体" w:eastAsia="楷体" w:cs="Times New Roman"/>
        <w:b/>
        <w:bCs w:val="0"/>
      </w:rPr>
    </w:lvl>
    <w:lvl w:ilvl="1" w:tentative="0">
      <w:start w:val="1"/>
      <w:numFmt w:val="decimal"/>
      <w:isLgl/>
      <w:lvlText w:val="%1.%2"/>
      <w:lvlJc w:val="left"/>
      <w:pPr>
        <w:tabs>
          <w:tab w:val="left" w:pos="709"/>
        </w:tabs>
        <w:ind w:left="709" w:hanging="709"/>
      </w:pPr>
      <w:rPr>
        <w:rFonts w:hint="default" w:ascii="楷体" w:hAnsi="楷体" w:eastAsia="楷体" w:cs="Times New Roman"/>
        <w:b w:val="0"/>
        <w:bCs w:val="0"/>
      </w:rPr>
    </w:lvl>
    <w:lvl w:ilvl="2" w:tentative="0">
      <w:start w:val="1"/>
      <w:numFmt w:val="decimal"/>
      <w:lvlText w:val="(%3)"/>
      <w:lvlJc w:val="left"/>
      <w:pPr>
        <w:tabs>
          <w:tab w:val="left" w:pos="1418"/>
        </w:tabs>
        <w:ind w:left="1418" w:hanging="709"/>
      </w:pPr>
      <w:rPr>
        <w:rFonts w:hint="default" w:ascii="Times New Roman" w:hAnsi="Times New Roman" w:cs="Times New Roman"/>
        <w:b w:val="0"/>
        <w:i w:val="0"/>
        <w:color w:val="auto"/>
      </w:rPr>
    </w:lvl>
    <w:lvl w:ilvl="3" w:tentative="0">
      <w:start w:val="1"/>
      <w:numFmt w:val="lowerLetter"/>
      <w:lvlText w:val="(%4)"/>
      <w:lvlJc w:val="left"/>
      <w:pPr>
        <w:tabs>
          <w:tab w:val="left" w:pos="1701"/>
        </w:tabs>
        <w:ind w:left="1701" w:hanging="454"/>
      </w:pPr>
      <w:rPr>
        <w:rFonts w:hint="default" w:ascii="Times New Roman" w:hAnsi="Times New Roman" w:cs="Times New Roman"/>
        <w:b w:val="0"/>
        <w:i w:val="0"/>
      </w:rPr>
    </w:lvl>
    <w:lvl w:ilvl="4" w:tentative="0">
      <w:start w:val="1"/>
      <w:numFmt w:val="lowerRoman"/>
      <w:lvlText w:val="(%5)"/>
      <w:lvlJc w:val="left"/>
      <w:pPr>
        <w:tabs>
          <w:tab w:val="left" w:pos="2268"/>
        </w:tabs>
        <w:ind w:left="2268" w:hanging="567"/>
      </w:pPr>
      <w:rPr>
        <w:rFonts w:hint="default" w:ascii="Arial" w:hAnsi="Arial" w:cs="Times New Roman"/>
        <w:b w:val="0"/>
      </w:rPr>
    </w:lvl>
    <w:lvl w:ilvl="5" w:tentative="0">
      <w:start w:val="1"/>
      <w:numFmt w:val="lowerRoman"/>
      <w:lvlText w:val="(%6)"/>
      <w:lvlJc w:val="left"/>
      <w:pPr>
        <w:tabs>
          <w:tab w:val="left" w:pos="2160"/>
        </w:tabs>
        <w:ind w:left="2160" w:hanging="360"/>
      </w:pPr>
      <w:rPr>
        <w:rFonts w:hint="eastAsia" w:cs="Times New Roman"/>
      </w:rPr>
    </w:lvl>
    <w:lvl w:ilvl="6" w:tentative="0">
      <w:start w:val="1"/>
      <w:numFmt w:val="decimal"/>
      <w:lvlText w:val="%7."/>
      <w:lvlJc w:val="left"/>
      <w:pPr>
        <w:tabs>
          <w:tab w:val="left" w:pos="2520"/>
        </w:tabs>
        <w:ind w:left="2520" w:hanging="360"/>
      </w:pPr>
      <w:rPr>
        <w:rFonts w:hint="eastAsia" w:cs="Times New Roman"/>
      </w:rPr>
    </w:lvl>
    <w:lvl w:ilvl="7" w:tentative="0">
      <w:start w:val="1"/>
      <w:numFmt w:val="lowerLetter"/>
      <w:lvlText w:val="%8."/>
      <w:lvlJc w:val="left"/>
      <w:pPr>
        <w:tabs>
          <w:tab w:val="left" w:pos="2880"/>
        </w:tabs>
        <w:ind w:left="2880" w:hanging="360"/>
      </w:pPr>
      <w:rPr>
        <w:rFonts w:hint="eastAsia" w:cs="Times New Roman"/>
      </w:rPr>
    </w:lvl>
    <w:lvl w:ilvl="8" w:tentative="0">
      <w:start w:val="1"/>
      <w:numFmt w:val="lowerRoman"/>
      <w:lvlText w:val="%9."/>
      <w:lvlJc w:val="left"/>
      <w:pPr>
        <w:tabs>
          <w:tab w:val="left" w:pos="3240"/>
        </w:tabs>
        <w:ind w:left="3240" w:hanging="360"/>
      </w:pPr>
      <w:rPr>
        <w:rFonts w:hint="eastAsia" w:cs="Times New Roman"/>
      </w:rPr>
    </w:lvl>
  </w:abstractNum>
  <w:abstractNum w:abstractNumId="3">
    <w:nsid w:val="426D105D"/>
    <w:multiLevelType w:val="multilevel"/>
    <w:tmpl w:val="426D105D"/>
    <w:lvl w:ilvl="0" w:tentative="0">
      <w:start w:val="1"/>
      <w:numFmt w:val="decimal"/>
      <w:lvlText w:val="5.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B36200"/>
    <w:multiLevelType w:val="multilevel"/>
    <w:tmpl w:val="47B36200"/>
    <w:lvl w:ilvl="0" w:tentative="0">
      <w:start w:val="1"/>
      <w:numFmt w:val="decimal"/>
      <w:lvlText w:val="10.2.%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DF4127"/>
    <w:multiLevelType w:val="multilevel"/>
    <w:tmpl w:val="5BDF4127"/>
    <w:lvl w:ilvl="0" w:tentative="0">
      <w:start w:val="1"/>
      <w:numFmt w:val="decimal"/>
      <w:lvlText w:val="5.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3D5C06"/>
    <w:multiLevelType w:val="multilevel"/>
    <w:tmpl w:val="5C3D5C06"/>
    <w:lvl w:ilvl="0" w:tentative="0">
      <w:start w:val="1"/>
      <w:numFmt w:val="decimal"/>
      <w:lvlText w:val="8.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356886"/>
    <w:multiLevelType w:val="multilevel"/>
    <w:tmpl w:val="61356886"/>
    <w:lvl w:ilvl="0" w:tentative="0">
      <w:start w:val="1"/>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B0376E"/>
    <w:multiLevelType w:val="multilevel"/>
    <w:tmpl w:val="71B0376E"/>
    <w:lvl w:ilvl="0" w:tentative="0">
      <w:start w:val="1"/>
      <w:numFmt w:val="decimal"/>
      <w:lvlText w:val="（%1）"/>
      <w:lvlJc w:val="left"/>
      <w:pPr>
        <w:ind w:left="2601"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7"/>
  </w:num>
  <w:num w:numId="5">
    <w:abstractNumId w:val="5"/>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172A27"/>
    <w:rsid w:val="00000AC2"/>
    <w:rsid w:val="00000DAD"/>
    <w:rsid w:val="0000115A"/>
    <w:rsid w:val="00001353"/>
    <w:rsid w:val="00001DB3"/>
    <w:rsid w:val="000030AB"/>
    <w:rsid w:val="000047F4"/>
    <w:rsid w:val="000049DE"/>
    <w:rsid w:val="00004CF6"/>
    <w:rsid w:val="00004F25"/>
    <w:rsid w:val="000064A5"/>
    <w:rsid w:val="000072FA"/>
    <w:rsid w:val="00010107"/>
    <w:rsid w:val="000137D9"/>
    <w:rsid w:val="000141E0"/>
    <w:rsid w:val="00014977"/>
    <w:rsid w:val="00015300"/>
    <w:rsid w:val="00016211"/>
    <w:rsid w:val="00016C12"/>
    <w:rsid w:val="000201CE"/>
    <w:rsid w:val="0002127C"/>
    <w:rsid w:val="00021549"/>
    <w:rsid w:val="0002389A"/>
    <w:rsid w:val="000255D8"/>
    <w:rsid w:val="00030551"/>
    <w:rsid w:val="00030558"/>
    <w:rsid w:val="000324AA"/>
    <w:rsid w:val="000368E0"/>
    <w:rsid w:val="00036FA8"/>
    <w:rsid w:val="000370AC"/>
    <w:rsid w:val="00037F5D"/>
    <w:rsid w:val="0004164C"/>
    <w:rsid w:val="00041725"/>
    <w:rsid w:val="00041C1F"/>
    <w:rsid w:val="000434AB"/>
    <w:rsid w:val="00043C46"/>
    <w:rsid w:val="00043CBD"/>
    <w:rsid w:val="00051EB2"/>
    <w:rsid w:val="0005293B"/>
    <w:rsid w:val="00052C65"/>
    <w:rsid w:val="000537AA"/>
    <w:rsid w:val="00053B44"/>
    <w:rsid w:val="000540BA"/>
    <w:rsid w:val="00054705"/>
    <w:rsid w:val="0005489E"/>
    <w:rsid w:val="000565B2"/>
    <w:rsid w:val="00056944"/>
    <w:rsid w:val="00056FC3"/>
    <w:rsid w:val="0006145C"/>
    <w:rsid w:val="000638E6"/>
    <w:rsid w:val="00063C61"/>
    <w:rsid w:val="0006559A"/>
    <w:rsid w:val="00065AEA"/>
    <w:rsid w:val="0006720F"/>
    <w:rsid w:val="0007009D"/>
    <w:rsid w:val="0007074C"/>
    <w:rsid w:val="000707F3"/>
    <w:rsid w:val="00070BE9"/>
    <w:rsid w:val="00071CE0"/>
    <w:rsid w:val="00071FFD"/>
    <w:rsid w:val="000726A6"/>
    <w:rsid w:val="000728AE"/>
    <w:rsid w:val="00074810"/>
    <w:rsid w:val="00074EE1"/>
    <w:rsid w:val="00075531"/>
    <w:rsid w:val="00085168"/>
    <w:rsid w:val="00086465"/>
    <w:rsid w:val="00086EB2"/>
    <w:rsid w:val="0008713E"/>
    <w:rsid w:val="000906B5"/>
    <w:rsid w:val="00091791"/>
    <w:rsid w:val="00092A08"/>
    <w:rsid w:val="00093EF6"/>
    <w:rsid w:val="00094FC4"/>
    <w:rsid w:val="00095A7F"/>
    <w:rsid w:val="000A2111"/>
    <w:rsid w:val="000A6600"/>
    <w:rsid w:val="000B1198"/>
    <w:rsid w:val="000B257E"/>
    <w:rsid w:val="000B7E29"/>
    <w:rsid w:val="000C0BB0"/>
    <w:rsid w:val="000C256B"/>
    <w:rsid w:val="000C3255"/>
    <w:rsid w:val="000C3791"/>
    <w:rsid w:val="000C4BC3"/>
    <w:rsid w:val="000C6F80"/>
    <w:rsid w:val="000C7587"/>
    <w:rsid w:val="000D0193"/>
    <w:rsid w:val="000D164A"/>
    <w:rsid w:val="000D16B1"/>
    <w:rsid w:val="000D4B7F"/>
    <w:rsid w:val="000D4C20"/>
    <w:rsid w:val="000D66CD"/>
    <w:rsid w:val="000D6D5D"/>
    <w:rsid w:val="000E35BA"/>
    <w:rsid w:val="000E6A2F"/>
    <w:rsid w:val="000F151B"/>
    <w:rsid w:val="000F3327"/>
    <w:rsid w:val="000F3DBE"/>
    <w:rsid w:val="000F4BA0"/>
    <w:rsid w:val="000F641D"/>
    <w:rsid w:val="000F79AA"/>
    <w:rsid w:val="00100476"/>
    <w:rsid w:val="001028EE"/>
    <w:rsid w:val="0010419C"/>
    <w:rsid w:val="00106662"/>
    <w:rsid w:val="00106D92"/>
    <w:rsid w:val="00110C80"/>
    <w:rsid w:val="00111CC7"/>
    <w:rsid w:val="00111F51"/>
    <w:rsid w:val="0011292F"/>
    <w:rsid w:val="001150BC"/>
    <w:rsid w:val="00115D2D"/>
    <w:rsid w:val="00116AE9"/>
    <w:rsid w:val="00116C76"/>
    <w:rsid w:val="00117BD8"/>
    <w:rsid w:val="00121293"/>
    <w:rsid w:val="00121CF6"/>
    <w:rsid w:val="00122F45"/>
    <w:rsid w:val="00124843"/>
    <w:rsid w:val="0012499E"/>
    <w:rsid w:val="0012775B"/>
    <w:rsid w:val="00132B9D"/>
    <w:rsid w:val="00133AD0"/>
    <w:rsid w:val="00134720"/>
    <w:rsid w:val="00134BB1"/>
    <w:rsid w:val="00136C3D"/>
    <w:rsid w:val="00137217"/>
    <w:rsid w:val="0014056A"/>
    <w:rsid w:val="00140D8E"/>
    <w:rsid w:val="001429B4"/>
    <w:rsid w:val="001430DA"/>
    <w:rsid w:val="00144D44"/>
    <w:rsid w:val="001460B7"/>
    <w:rsid w:val="001460EE"/>
    <w:rsid w:val="00147CAA"/>
    <w:rsid w:val="00151282"/>
    <w:rsid w:val="001515BF"/>
    <w:rsid w:val="00151734"/>
    <w:rsid w:val="00151E73"/>
    <w:rsid w:val="00152CAB"/>
    <w:rsid w:val="00153781"/>
    <w:rsid w:val="001537CF"/>
    <w:rsid w:val="001556A0"/>
    <w:rsid w:val="0015590B"/>
    <w:rsid w:val="0016070E"/>
    <w:rsid w:val="00160EB7"/>
    <w:rsid w:val="0016215F"/>
    <w:rsid w:val="00165366"/>
    <w:rsid w:val="00166AD6"/>
    <w:rsid w:val="00166E48"/>
    <w:rsid w:val="00167012"/>
    <w:rsid w:val="0016789B"/>
    <w:rsid w:val="00174620"/>
    <w:rsid w:val="0017516B"/>
    <w:rsid w:val="001761F6"/>
    <w:rsid w:val="00181B76"/>
    <w:rsid w:val="00181E22"/>
    <w:rsid w:val="00183F7C"/>
    <w:rsid w:val="0018499B"/>
    <w:rsid w:val="001849C5"/>
    <w:rsid w:val="00185C99"/>
    <w:rsid w:val="00186C1F"/>
    <w:rsid w:val="00187680"/>
    <w:rsid w:val="00192CBC"/>
    <w:rsid w:val="00193257"/>
    <w:rsid w:val="00193283"/>
    <w:rsid w:val="00194FCD"/>
    <w:rsid w:val="001A00D7"/>
    <w:rsid w:val="001A08C1"/>
    <w:rsid w:val="001A1846"/>
    <w:rsid w:val="001A266F"/>
    <w:rsid w:val="001A3474"/>
    <w:rsid w:val="001A383E"/>
    <w:rsid w:val="001A5906"/>
    <w:rsid w:val="001A6342"/>
    <w:rsid w:val="001A6458"/>
    <w:rsid w:val="001A6858"/>
    <w:rsid w:val="001A7121"/>
    <w:rsid w:val="001A7827"/>
    <w:rsid w:val="001A7A2D"/>
    <w:rsid w:val="001B10EF"/>
    <w:rsid w:val="001B1C51"/>
    <w:rsid w:val="001B25FE"/>
    <w:rsid w:val="001B28EE"/>
    <w:rsid w:val="001B2F63"/>
    <w:rsid w:val="001B34FB"/>
    <w:rsid w:val="001B3F82"/>
    <w:rsid w:val="001B69AD"/>
    <w:rsid w:val="001B6AB5"/>
    <w:rsid w:val="001B6B0A"/>
    <w:rsid w:val="001C0FF8"/>
    <w:rsid w:val="001C2853"/>
    <w:rsid w:val="001C39F3"/>
    <w:rsid w:val="001C4133"/>
    <w:rsid w:val="001C417E"/>
    <w:rsid w:val="001C481B"/>
    <w:rsid w:val="001C55BC"/>
    <w:rsid w:val="001C603E"/>
    <w:rsid w:val="001C60FE"/>
    <w:rsid w:val="001C6543"/>
    <w:rsid w:val="001C6700"/>
    <w:rsid w:val="001C6F6F"/>
    <w:rsid w:val="001C74AC"/>
    <w:rsid w:val="001D0316"/>
    <w:rsid w:val="001D165D"/>
    <w:rsid w:val="001D265E"/>
    <w:rsid w:val="001D7614"/>
    <w:rsid w:val="001E11AB"/>
    <w:rsid w:val="001E1312"/>
    <w:rsid w:val="001F0C55"/>
    <w:rsid w:val="001F1F46"/>
    <w:rsid w:val="001F4471"/>
    <w:rsid w:val="001F48B3"/>
    <w:rsid w:val="001F4DD3"/>
    <w:rsid w:val="001F6401"/>
    <w:rsid w:val="00201CE9"/>
    <w:rsid w:val="00202ED5"/>
    <w:rsid w:val="002036D2"/>
    <w:rsid w:val="00204D3A"/>
    <w:rsid w:val="00205EFC"/>
    <w:rsid w:val="002061A9"/>
    <w:rsid w:val="00207D81"/>
    <w:rsid w:val="00211FD4"/>
    <w:rsid w:val="00213547"/>
    <w:rsid w:val="002136D2"/>
    <w:rsid w:val="00213F99"/>
    <w:rsid w:val="00214251"/>
    <w:rsid w:val="00215ACF"/>
    <w:rsid w:val="00216487"/>
    <w:rsid w:val="00220514"/>
    <w:rsid w:val="002211EC"/>
    <w:rsid w:val="002220B6"/>
    <w:rsid w:val="00224697"/>
    <w:rsid w:val="00225D57"/>
    <w:rsid w:val="00225D79"/>
    <w:rsid w:val="0022657D"/>
    <w:rsid w:val="00226C9E"/>
    <w:rsid w:val="00230AF9"/>
    <w:rsid w:val="00234116"/>
    <w:rsid w:val="0023517A"/>
    <w:rsid w:val="00235F95"/>
    <w:rsid w:val="00236ACD"/>
    <w:rsid w:val="00240E3D"/>
    <w:rsid w:val="00241CE2"/>
    <w:rsid w:val="00242BEF"/>
    <w:rsid w:val="00244A0C"/>
    <w:rsid w:val="0024560A"/>
    <w:rsid w:val="002510BE"/>
    <w:rsid w:val="00251ED9"/>
    <w:rsid w:val="00252B0D"/>
    <w:rsid w:val="00255157"/>
    <w:rsid w:val="0026119F"/>
    <w:rsid w:val="002619C1"/>
    <w:rsid w:val="0026337D"/>
    <w:rsid w:val="00264C38"/>
    <w:rsid w:val="00265BED"/>
    <w:rsid w:val="00267D82"/>
    <w:rsid w:val="002706DA"/>
    <w:rsid w:val="00270D0B"/>
    <w:rsid w:val="00270E5B"/>
    <w:rsid w:val="00272041"/>
    <w:rsid w:val="00273710"/>
    <w:rsid w:val="00273953"/>
    <w:rsid w:val="00274BE0"/>
    <w:rsid w:val="00275164"/>
    <w:rsid w:val="0027721A"/>
    <w:rsid w:val="00277EF3"/>
    <w:rsid w:val="002819AB"/>
    <w:rsid w:val="00284653"/>
    <w:rsid w:val="002863E4"/>
    <w:rsid w:val="00286B99"/>
    <w:rsid w:val="0029130F"/>
    <w:rsid w:val="00291C85"/>
    <w:rsid w:val="00291CE8"/>
    <w:rsid w:val="00291F74"/>
    <w:rsid w:val="00296994"/>
    <w:rsid w:val="002A0F53"/>
    <w:rsid w:val="002A3E7F"/>
    <w:rsid w:val="002B0D7A"/>
    <w:rsid w:val="002B15B6"/>
    <w:rsid w:val="002B2C66"/>
    <w:rsid w:val="002B3AED"/>
    <w:rsid w:val="002B481B"/>
    <w:rsid w:val="002B7BC7"/>
    <w:rsid w:val="002C18FF"/>
    <w:rsid w:val="002C2021"/>
    <w:rsid w:val="002C21C0"/>
    <w:rsid w:val="002C50C8"/>
    <w:rsid w:val="002C50F8"/>
    <w:rsid w:val="002C549C"/>
    <w:rsid w:val="002C5DA6"/>
    <w:rsid w:val="002C70A9"/>
    <w:rsid w:val="002C79FC"/>
    <w:rsid w:val="002D1E3F"/>
    <w:rsid w:val="002D2624"/>
    <w:rsid w:val="002D27F3"/>
    <w:rsid w:val="002D34F8"/>
    <w:rsid w:val="002D41C5"/>
    <w:rsid w:val="002D492E"/>
    <w:rsid w:val="002D750D"/>
    <w:rsid w:val="002D792D"/>
    <w:rsid w:val="002E1942"/>
    <w:rsid w:val="002E1A26"/>
    <w:rsid w:val="002E2C76"/>
    <w:rsid w:val="002E4118"/>
    <w:rsid w:val="002E4416"/>
    <w:rsid w:val="002E5F80"/>
    <w:rsid w:val="002E624F"/>
    <w:rsid w:val="002E7A77"/>
    <w:rsid w:val="002E7D1F"/>
    <w:rsid w:val="002F2728"/>
    <w:rsid w:val="002F35E7"/>
    <w:rsid w:val="002F40D2"/>
    <w:rsid w:val="002F47BB"/>
    <w:rsid w:val="002F6DF9"/>
    <w:rsid w:val="002F7442"/>
    <w:rsid w:val="00302A38"/>
    <w:rsid w:val="00302B08"/>
    <w:rsid w:val="00303376"/>
    <w:rsid w:val="003048A5"/>
    <w:rsid w:val="00306830"/>
    <w:rsid w:val="00306939"/>
    <w:rsid w:val="003069EB"/>
    <w:rsid w:val="00306C6D"/>
    <w:rsid w:val="00310706"/>
    <w:rsid w:val="0031199D"/>
    <w:rsid w:val="00314B26"/>
    <w:rsid w:val="00316C2A"/>
    <w:rsid w:val="003175D3"/>
    <w:rsid w:val="00320B7A"/>
    <w:rsid w:val="003212BC"/>
    <w:rsid w:val="0032267D"/>
    <w:rsid w:val="003229E6"/>
    <w:rsid w:val="003234E0"/>
    <w:rsid w:val="00325BF2"/>
    <w:rsid w:val="003301C2"/>
    <w:rsid w:val="0033411F"/>
    <w:rsid w:val="00334FF2"/>
    <w:rsid w:val="00337814"/>
    <w:rsid w:val="00340321"/>
    <w:rsid w:val="003452F8"/>
    <w:rsid w:val="003476FE"/>
    <w:rsid w:val="0034774C"/>
    <w:rsid w:val="00350859"/>
    <w:rsid w:val="003528CE"/>
    <w:rsid w:val="00353A14"/>
    <w:rsid w:val="00353AB1"/>
    <w:rsid w:val="00353E44"/>
    <w:rsid w:val="003564B8"/>
    <w:rsid w:val="00360573"/>
    <w:rsid w:val="00360A70"/>
    <w:rsid w:val="0036148D"/>
    <w:rsid w:val="00361773"/>
    <w:rsid w:val="00363387"/>
    <w:rsid w:val="00364395"/>
    <w:rsid w:val="00364B20"/>
    <w:rsid w:val="0036649B"/>
    <w:rsid w:val="00370FFF"/>
    <w:rsid w:val="00371AC9"/>
    <w:rsid w:val="003727FD"/>
    <w:rsid w:val="0037380B"/>
    <w:rsid w:val="003750A1"/>
    <w:rsid w:val="00376B7F"/>
    <w:rsid w:val="00381F23"/>
    <w:rsid w:val="00382A38"/>
    <w:rsid w:val="0038353A"/>
    <w:rsid w:val="003839CE"/>
    <w:rsid w:val="00385B5C"/>
    <w:rsid w:val="00386D2F"/>
    <w:rsid w:val="00387A00"/>
    <w:rsid w:val="00387C16"/>
    <w:rsid w:val="00387FFA"/>
    <w:rsid w:val="00391868"/>
    <w:rsid w:val="00392A40"/>
    <w:rsid w:val="00394454"/>
    <w:rsid w:val="003960C2"/>
    <w:rsid w:val="00397C40"/>
    <w:rsid w:val="003A15E5"/>
    <w:rsid w:val="003A59E7"/>
    <w:rsid w:val="003B10D0"/>
    <w:rsid w:val="003B2E03"/>
    <w:rsid w:val="003B3A21"/>
    <w:rsid w:val="003B3E10"/>
    <w:rsid w:val="003B3E46"/>
    <w:rsid w:val="003B3F69"/>
    <w:rsid w:val="003B7370"/>
    <w:rsid w:val="003C1DA3"/>
    <w:rsid w:val="003C1EF6"/>
    <w:rsid w:val="003C3213"/>
    <w:rsid w:val="003C385F"/>
    <w:rsid w:val="003C40BC"/>
    <w:rsid w:val="003C496C"/>
    <w:rsid w:val="003C5E77"/>
    <w:rsid w:val="003D1682"/>
    <w:rsid w:val="003D654A"/>
    <w:rsid w:val="003E2E1C"/>
    <w:rsid w:val="003E3087"/>
    <w:rsid w:val="003E77CF"/>
    <w:rsid w:val="003E7905"/>
    <w:rsid w:val="003F0B9B"/>
    <w:rsid w:val="003F2D44"/>
    <w:rsid w:val="003F4127"/>
    <w:rsid w:val="003F7983"/>
    <w:rsid w:val="003F7FFD"/>
    <w:rsid w:val="00400121"/>
    <w:rsid w:val="00401956"/>
    <w:rsid w:val="00401C82"/>
    <w:rsid w:val="00401F80"/>
    <w:rsid w:val="004027B0"/>
    <w:rsid w:val="004050E2"/>
    <w:rsid w:val="00405187"/>
    <w:rsid w:val="00406156"/>
    <w:rsid w:val="00406D3E"/>
    <w:rsid w:val="004071B0"/>
    <w:rsid w:val="004115FA"/>
    <w:rsid w:val="004125C6"/>
    <w:rsid w:val="0041272C"/>
    <w:rsid w:val="00414B9B"/>
    <w:rsid w:val="00415375"/>
    <w:rsid w:val="00415CCA"/>
    <w:rsid w:val="004173C5"/>
    <w:rsid w:val="00420455"/>
    <w:rsid w:val="004205B2"/>
    <w:rsid w:val="00423C98"/>
    <w:rsid w:val="00424C1C"/>
    <w:rsid w:val="00424FBE"/>
    <w:rsid w:val="00425C5B"/>
    <w:rsid w:val="00425F3F"/>
    <w:rsid w:val="0042685C"/>
    <w:rsid w:val="004279EF"/>
    <w:rsid w:val="00427F59"/>
    <w:rsid w:val="004319C2"/>
    <w:rsid w:val="00433D98"/>
    <w:rsid w:val="0043452A"/>
    <w:rsid w:val="004348D4"/>
    <w:rsid w:val="00434928"/>
    <w:rsid w:val="00437FE0"/>
    <w:rsid w:val="00440997"/>
    <w:rsid w:val="00441359"/>
    <w:rsid w:val="00441E1F"/>
    <w:rsid w:val="00444BE7"/>
    <w:rsid w:val="004458D8"/>
    <w:rsid w:val="00445ACA"/>
    <w:rsid w:val="00446510"/>
    <w:rsid w:val="0045039A"/>
    <w:rsid w:val="00453357"/>
    <w:rsid w:val="00453B8F"/>
    <w:rsid w:val="00453E98"/>
    <w:rsid w:val="0045405E"/>
    <w:rsid w:val="00454AFD"/>
    <w:rsid w:val="004560FC"/>
    <w:rsid w:val="00456141"/>
    <w:rsid w:val="00456349"/>
    <w:rsid w:val="00456E70"/>
    <w:rsid w:val="00457117"/>
    <w:rsid w:val="00457160"/>
    <w:rsid w:val="00457CC6"/>
    <w:rsid w:val="00461D6F"/>
    <w:rsid w:val="00463206"/>
    <w:rsid w:val="00465AAE"/>
    <w:rsid w:val="00466671"/>
    <w:rsid w:val="00466F38"/>
    <w:rsid w:val="0047004A"/>
    <w:rsid w:val="004707B7"/>
    <w:rsid w:val="00470F7E"/>
    <w:rsid w:val="00471093"/>
    <w:rsid w:val="00471C2D"/>
    <w:rsid w:val="00471C56"/>
    <w:rsid w:val="00472009"/>
    <w:rsid w:val="00472075"/>
    <w:rsid w:val="00472C26"/>
    <w:rsid w:val="00472F23"/>
    <w:rsid w:val="004732BE"/>
    <w:rsid w:val="00474229"/>
    <w:rsid w:val="0047532A"/>
    <w:rsid w:val="004771FB"/>
    <w:rsid w:val="0048147D"/>
    <w:rsid w:val="00485C50"/>
    <w:rsid w:val="004863D8"/>
    <w:rsid w:val="0049045F"/>
    <w:rsid w:val="00493371"/>
    <w:rsid w:val="00494902"/>
    <w:rsid w:val="0049512C"/>
    <w:rsid w:val="004968DF"/>
    <w:rsid w:val="00496AA3"/>
    <w:rsid w:val="00497678"/>
    <w:rsid w:val="00497713"/>
    <w:rsid w:val="004A0D79"/>
    <w:rsid w:val="004A2CEB"/>
    <w:rsid w:val="004A4DDA"/>
    <w:rsid w:val="004A6111"/>
    <w:rsid w:val="004B0A82"/>
    <w:rsid w:val="004B3026"/>
    <w:rsid w:val="004B644A"/>
    <w:rsid w:val="004C1A8A"/>
    <w:rsid w:val="004C2638"/>
    <w:rsid w:val="004C4866"/>
    <w:rsid w:val="004D04D1"/>
    <w:rsid w:val="004D1404"/>
    <w:rsid w:val="004D1EA6"/>
    <w:rsid w:val="004D2E41"/>
    <w:rsid w:val="004D6195"/>
    <w:rsid w:val="004D715E"/>
    <w:rsid w:val="004E1895"/>
    <w:rsid w:val="004E1C3B"/>
    <w:rsid w:val="004E2497"/>
    <w:rsid w:val="004E27C0"/>
    <w:rsid w:val="004E37E9"/>
    <w:rsid w:val="004E3927"/>
    <w:rsid w:val="004E3B1D"/>
    <w:rsid w:val="004E3F1B"/>
    <w:rsid w:val="004E4276"/>
    <w:rsid w:val="004E4597"/>
    <w:rsid w:val="004E5207"/>
    <w:rsid w:val="004E56B0"/>
    <w:rsid w:val="004E63ED"/>
    <w:rsid w:val="004E645E"/>
    <w:rsid w:val="004E6D67"/>
    <w:rsid w:val="004E6DEB"/>
    <w:rsid w:val="004E7A77"/>
    <w:rsid w:val="004F0809"/>
    <w:rsid w:val="004F09CA"/>
    <w:rsid w:val="004F0C7A"/>
    <w:rsid w:val="004F2B4C"/>
    <w:rsid w:val="004F3C96"/>
    <w:rsid w:val="004F6513"/>
    <w:rsid w:val="004F6836"/>
    <w:rsid w:val="004F6D24"/>
    <w:rsid w:val="004F7FD0"/>
    <w:rsid w:val="00505FA8"/>
    <w:rsid w:val="00506A72"/>
    <w:rsid w:val="00506CAC"/>
    <w:rsid w:val="0051037A"/>
    <w:rsid w:val="0051202A"/>
    <w:rsid w:val="00512B7D"/>
    <w:rsid w:val="005141EF"/>
    <w:rsid w:val="00516195"/>
    <w:rsid w:val="00516E61"/>
    <w:rsid w:val="00516F45"/>
    <w:rsid w:val="00517203"/>
    <w:rsid w:val="005176AE"/>
    <w:rsid w:val="005211A6"/>
    <w:rsid w:val="00521B8A"/>
    <w:rsid w:val="00524C0F"/>
    <w:rsid w:val="00527555"/>
    <w:rsid w:val="00527EB2"/>
    <w:rsid w:val="00531572"/>
    <w:rsid w:val="005331B2"/>
    <w:rsid w:val="00534FB6"/>
    <w:rsid w:val="00537B9B"/>
    <w:rsid w:val="00540912"/>
    <w:rsid w:val="0054241C"/>
    <w:rsid w:val="00542EF7"/>
    <w:rsid w:val="00545C7E"/>
    <w:rsid w:val="00550BD2"/>
    <w:rsid w:val="00550CA3"/>
    <w:rsid w:val="00552C53"/>
    <w:rsid w:val="00553D0A"/>
    <w:rsid w:val="00555D0D"/>
    <w:rsid w:val="00556A7F"/>
    <w:rsid w:val="00556E94"/>
    <w:rsid w:val="00556F9C"/>
    <w:rsid w:val="00557A86"/>
    <w:rsid w:val="00560C2E"/>
    <w:rsid w:val="00563367"/>
    <w:rsid w:val="00564473"/>
    <w:rsid w:val="005647A3"/>
    <w:rsid w:val="00565D4C"/>
    <w:rsid w:val="00565F65"/>
    <w:rsid w:val="0056667E"/>
    <w:rsid w:val="00567B1B"/>
    <w:rsid w:val="005702E1"/>
    <w:rsid w:val="00570FAF"/>
    <w:rsid w:val="00571332"/>
    <w:rsid w:val="00571955"/>
    <w:rsid w:val="00574E44"/>
    <w:rsid w:val="00575E21"/>
    <w:rsid w:val="00577696"/>
    <w:rsid w:val="0058121C"/>
    <w:rsid w:val="005866D0"/>
    <w:rsid w:val="005874CF"/>
    <w:rsid w:val="005914FF"/>
    <w:rsid w:val="005920CE"/>
    <w:rsid w:val="005921F8"/>
    <w:rsid w:val="00593B67"/>
    <w:rsid w:val="00594C7F"/>
    <w:rsid w:val="00596D52"/>
    <w:rsid w:val="005B0A68"/>
    <w:rsid w:val="005B13A3"/>
    <w:rsid w:val="005B1883"/>
    <w:rsid w:val="005B3C85"/>
    <w:rsid w:val="005B4F92"/>
    <w:rsid w:val="005B5B97"/>
    <w:rsid w:val="005B6EE0"/>
    <w:rsid w:val="005B78A1"/>
    <w:rsid w:val="005C1EF6"/>
    <w:rsid w:val="005D02DB"/>
    <w:rsid w:val="005D0537"/>
    <w:rsid w:val="005D13C4"/>
    <w:rsid w:val="005D14CB"/>
    <w:rsid w:val="005D24CA"/>
    <w:rsid w:val="005D2CE2"/>
    <w:rsid w:val="005D483F"/>
    <w:rsid w:val="005D48E7"/>
    <w:rsid w:val="005D4DAA"/>
    <w:rsid w:val="005D5D51"/>
    <w:rsid w:val="005D606F"/>
    <w:rsid w:val="005E0178"/>
    <w:rsid w:val="005E12B6"/>
    <w:rsid w:val="005E18C4"/>
    <w:rsid w:val="005E1948"/>
    <w:rsid w:val="005E2617"/>
    <w:rsid w:val="005E2659"/>
    <w:rsid w:val="005E381B"/>
    <w:rsid w:val="005E6601"/>
    <w:rsid w:val="005F0799"/>
    <w:rsid w:val="005F1425"/>
    <w:rsid w:val="005F3556"/>
    <w:rsid w:val="005F3C9A"/>
    <w:rsid w:val="005F44F8"/>
    <w:rsid w:val="005F6DEA"/>
    <w:rsid w:val="005F79CE"/>
    <w:rsid w:val="00601AE2"/>
    <w:rsid w:val="00602BD7"/>
    <w:rsid w:val="00606BCD"/>
    <w:rsid w:val="00606F9B"/>
    <w:rsid w:val="00611E7F"/>
    <w:rsid w:val="00612C16"/>
    <w:rsid w:val="006137B9"/>
    <w:rsid w:val="00614730"/>
    <w:rsid w:val="00614DC9"/>
    <w:rsid w:val="0061742B"/>
    <w:rsid w:val="006240A6"/>
    <w:rsid w:val="00624D5F"/>
    <w:rsid w:val="0062795F"/>
    <w:rsid w:val="006303AA"/>
    <w:rsid w:val="0063271E"/>
    <w:rsid w:val="00632884"/>
    <w:rsid w:val="0063341A"/>
    <w:rsid w:val="006347BC"/>
    <w:rsid w:val="00636F43"/>
    <w:rsid w:val="0064057C"/>
    <w:rsid w:val="006406A4"/>
    <w:rsid w:val="00641358"/>
    <w:rsid w:val="0064409A"/>
    <w:rsid w:val="00645E91"/>
    <w:rsid w:val="00646C5D"/>
    <w:rsid w:val="006516A7"/>
    <w:rsid w:val="00652632"/>
    <w:rsid w:val="00652646"/>
    <w:rsid w:val="00653A55"/>
    <w:rsid w:val="00653B86"/>
    <w:rsid w:val="0065483C"/>
    <w:rsid w:val="006552F2"/>
    <w:rsid w:val="00657FB8"/>
    <w:rsid w:val="00660107"/>
    <w:rsid w:val="00661403"/>
    <w:rsid w:val="0066500A"/>
    <w:rsid w:val="00666E5F"/>
    <w:rsid w:val="00673794"/>
    <w:rsid w:val="00674146"/>
    <w:rsid w:val="006759D0"/>
    <w:rsid w:val="00676932"/>
    <w:rsid w:val="00676A9A"/>
    <w:rsid w:val="006815C7"/>
    <w:rsid w:val="006819B7"/>
    <w:rsid w:val="00681E99"/>
    <w:rsid w:val="006825B0"/>
    <w:rsid w:val="006839EC"/>
    <w:rsid w:val="00684712"/>
    <w:rsid w:val="006861A8"/>
    <w:rsid w:val="00687D17"/>
    <w:rsid w:val="00687DE9"/>
    <w:rsid w:val="006904B1"/>
    <w:rsid w:val="006939E3"/>
    <w:rsid w:val="00694438"/>
    <w:rsid w:val="00694C66"/>
    <w:rsid w:val="00694EF5"/>
    <w:rsid w:val="00695AD2"/>
    <w:rsid w:val="00695DE5"/>
    <w:rsid w:val="00696E7B"/>
    <w:rsid w:val="006A05AC"/>
    <w:rsid w:val="006A0F40"/>
    <w:rsid w:val="006A18FE"/>
    <w:rsid w:val="006A2DBC"/>
    <w:rsid w:val="006A31ED"/>
    <w:rsid w:val="006A47EA"/>
    <w:rsid w:val="006A4D32"/>
    <w:rsid w:val="006A7943"/>
    <w:rsid w:val="006A7C9A"/>
    <w:rsid w:val="006B04F0"/>
    <w:rsid w:val="006B300D"/>
    <w:rsid w:val="006B41BA"/>
    <w:rsid w:val="006B5074"/>
    <w:rsid w:val="006B5379"/>
    <w:rsid w:val="006B5E66"/>
    <w:rsid w:val="006C034F"/>
    <w:rsid w:val="006C3D39"/>
    <w:rsid w:val="006C4176"/>
    <w:rsid w:val="006C4298"/>
    <w:rsid w:val="006C5430"/>
    <w:rsid w:val="006C5A5F"/>
    <w:rsid w:val="006C79A1"/>
    <w:rsid w:val="006D02E0"/>
    <w:rsid w:val="006D0E40"/>
    <w:rsid w:val="006D4847"/>
    <w:rsid w:val="006E04E4"/>
    <w:rsid w:val="006E0C68"/>
    <w:rsid w:val="006E0C6B"/>
    <w:rsid w:val="006E1683"/>
    <w:rsid w:val="006E42FF"/>
    <w:rsid w:val="006E721D"/>
    <w:rsid w:val="006F08B9"/>
    <w:rsid w:val="006F0F42"/>
    <w:rsid w:val="006F11FE"/>
    <w:rsid w:val="006F14AB"/>
    <w:rsid w:val="006F1538"/>
    <w:rsid w:val="006F182F"/>
    <w:rsid w:val="006F238B"/>
    <w:rsid w:val="006F3116"/>
    <w:rsid w:val="006F3B82"/>
    <w:rsid w:val="006F4ABE"/>
    <w:rsid w:val="006F6FBF"/>
    <w:rsid w:val="007004CE"/>
    <w:rsid w:val="007017E6"/>
    <w:rsid w:val="007043F1"/>
    <w:rsid w:val="007046C8"/>
    <w:rsid w:val="0070698F"/>
    <w:rsid w:val="0070785E"/>
    <w:rsid w:val="00707BE6"/>
    <w:rsid w:val="00707C78"/>
    <w:rsid w:val="007121B3"/>
    <w:rsid w:val="007133C0"/>
    <w:rsid w:val="00714F1D"/>
    <w:rsid w:val="007178B8"/>
    <w:rsid w:val="00717E5A"/>
    <w:rsid w:val="007200FE"/>
    <w:rsid w:val="00720360"/>
    <w:rsid w:val="00722004"/>
    <w:rsid w:val="0072256D"/>
    <w:rsid w:val="00723B53"/>
    <w:rsid w:val="007241E4"/>
    <w:rsid w:val="007305A8"/>
    <w:rsid w:val="0073079D"/>
    <w:rsid w:val="00730DE0"/>
    <w:rsid w:val="00731DBE"/>
    <w:rsid w:val="00731F55"/>
    <w:rsid w:val="007325D7"/>
    <w:rsid w:val="007332E7"/>
    <w:rsid w:val="0073360F"/>
    <w:rsid w:val="00733FEE"/>
    <w:rsid w:val="00735C7E"/>
    <w:rsid w:val="00736BF6"/>
    <w:rsid w:val="0074057F"/>
    <w:rsid w:val="00743229"/>
    <w:rsid w:val="007444F1"/>
    <w:rsid w:val="007451CB"/>
    <w:rsid w:val="00747DEC"/>
    <w:rsid w:val="00750D73"/>
    <w:rsid w:val="00753BC9"/>
    <w:rsid w:val="00755110"/>
    <w:rsid w:val="00755272"/>
    <w:rsid w:val="00755E0F"/>
    <w:rsid w:val="007575E2"/>
    <w:rsid w:val="00761DEC"/>
    <w:rsid w:val="00762810"/>
    <w:rsid w:val="007641C9"/>
    <w:rsid w:val="007657D4"/>
    <w:rsid w:val="00767158"/>
    <w:rsid w:val="00767D6C"/>
    <w:rsid w:val="00771AE1"/>
    <w:rsid w:val="00775A94"/>
    <w:rsid w:val="007762C9"/>
    <w:rsid w:val="007808D1"/>
    <w:rsid w:val="00780976"/>
    <w:rsid w:val="00781438"/>
    <w:rsid w:val="00781A38"/>
    <w:rsid w:val="00781D88"/>
    <w:rsid w:val="0078312C"/>
    <w:rsid w:val="00783721"/>
    <w:rsid w:val="007844E2"/>
    <w:rsid w:val="00785DB3"/>
    <w:rsid w:val="007871CC"/>
    <w:rsid w:val="00790D57"/>
    <w:rsid w:val="00793004"/>
    <w:rsid w:val="007932D6"/>
    <w:rsid w:val="00795F98"/>
    <w:rsid w:val="007961FC"/>
    <w:rsid w:val="007979AB"/>
    <w:rsid w:val="00797AAF"/>
    <w:rsid w:val="007A0191"/>
    <w:rsid w:val="007A02C8"/>
    <w:rsid w:val="007A27C3"/>
    <w:rsid w:val="007A2A88"/>
    <w:rsid w:val="007A3D91"/>
    <w:rsid w:val="007A5967"/>
    <w:rsid w:val="007A5B34"/>
    <w:rsid w:val="007A5DED"/>
    <w:rsid w:val="007A796A"/>
    <w:rsid w:val="007A7C58"/>
    <w:rsid w:val="007A7F1C"/>
    <w:rsid w:val="007B33EF"/>
    <w:rsid w:val="007B4518"/>
    <w:rsid w:val="007B5600"/>
    <w:rsid w:val="007B580F"/>
    <w:rsid w:val="007B693A"/>
    <w:rsid w:val="007B7327"/>
    <w:rsid w:val="007C1CE5"/>
    <w:rsid w:val="007C3588"/>
    <w:rsid w:val="007C38B7"/>
    <w:rsid w:val="007C3B28"/>
    <w:rsid w:val="007C4CDD"/>
    <w:rsid w:val="007C6792"/>
    <w:rsid w:val="007C6A40"/>
    <w:rsid w:val="007C6D7A"/>
    <w:rsid w:val="007D01DE"/>
    <w:rsid w:val="007D1539"/>
    <w:rsid w:val="007D294C"/>
    <w:rsid w:val="007D34BD"/>
    <w:rsid w:val="007D3533"/>
    <w:rsid w:val="007D4009"/>
    <w:rsid w:val="007D4D21"/>
    <w:rsid w:val="007D5B5E"/>
    <w:rsid w:val="007D5D9E"/>
    <w:rsid w:val="007D6254"/>
    <w:rsid w:val="007D7178"/>
    <w:rsid w:val="007D77C4"/>
    <w:rsid w:val="007E321A"/>
    <w:rsid w:val="007E6A1D"/>
    <w:rsid w:val="007F015F"/>
    <w:rsid w:val="007F353B"/>
    <w:rsid w:val="007F3661"/>
    <w:rsid w:val="007F3CA6"/>
    <w:rsid w:val="007F453F"/>
    <w:rsid w:val="007F53AE"/>
    <w:rsid w:val="007F7A9F"/>
    <w:rsid w:val="007F7D6D"/>
    <w:rsid w:val="00802684"/>
    <w:rsid w:val="008033F5"/>
    <w:rsid w:val="0080344C"/>
    <w:rsid w:val="0080416F"/>
    <w:rsid w:val="0080624B"/>
    <w:rsid w:val="008063AA"/>
    <w:rsid w:val="00806414"/>
    <w:rsid w:val="00806A19"/>
    <w:rsid w:val="00810DE7"/>
    <w:rsid w:val="00813564"/>
    <w:rsid w:val="008151E9"/>
    <w:rsid w:val="00821545"/>
    <w:rsid w:val="00821D8B"/>
    <w:rsid w:val="00821F78"/>
    <w:rsid w:val="00822E2D"/>
    <w:rsid w:val="0082356C"/>
    <w:rsid w:val="00824846"/>
    <w:rsid w:val="00824AB2"/>
    <w:rsid w:val="00826932"/>
    <w:rsid w:val="0082695C"/>
    <w:rsid w:val="008271DF"/>
    <w:rsid w:val="00827663"/>
    <w:rsid w:val="00827A65"/>
    <w:rsid w:val="00830725"/>
    <w:rsid w:val="00830B3E"/>
    <w:rsid w:val="00831785"/>
    <w:rsid w:val="00833884"/>
    <w:rsid w:val="00834BD8"/>
    <w:rsid w:val="008350BC"/>
    <w:rsid w:val="008359B0"/>
    <w:rsid w:val="0083618D"/>
    <w:rsid w:val="0083665D"/>
    <w:rsid w:val="00840970"/>
    <w:rsid w:val="00840D81"/>
    <w:rsid w:val="008445D6"/>
    <w:rsid w:val="0084776C"/>
    <w:rsid w:val="00847E60"/>
    <w:rsid w:val="008505D4"/>
    <w:rsid w:val="0085292F"/>
    <w:rsid w:val="00855C31"/>
    <w:rsid w:val="00855EF0"/>
    <w:rsid w:val="008560B9"/>
    <w:rsid w:val="00857392"/>
    <w:rsid w:val="00857742"/>
    <w:rsid w:val="00857C83"/>
    <w:rsid w:val="00864669"/>
    <w:rsid w:val="00865895"/>
    <w:rsid w:val="00866F26"/>
    <w:rsid w:val="00872ACD"/>
    <w:rsid w:val="008751AE"/>
    <w:rsid w:val="008751AF"/>
    <w:rsid w:val="0087531B"/>
    <w:rsid w:val="008766FF"/>
    <w:rsid w:val="00880753"/>
    <w:rsid w:val="00880A68"/>
    <w:rsid w:val="00881215"/>
    <w:rsid w:val="00882F20"/>
    <w:rsid w:val="0088544B"/>
    <w:rsid w:val="008854C6"/>
    <w:rsid w:val="00887039"/>
    <w:rsid w:val="00887768"/>
    <w:rsid w:val="00887E2C"/>
    <w:rsid w:val="008908C5"/>
    <w:rsid w:val="008915EC"/>
    <w:rsid w:val="008924D0"/>
    <w:rsid w:val="0089250D"/>
    <w:rsid w:val="00893E9C"/>
    <w:rsid w:val="0089581B"/>
    <w:rsid w:val="00895A2A"/>
    <w:rsid w:val="00897C02"/>
    <w:rsid w:val="008A3DE8"/>
    <w:rsid w:val="008A3E97"/>
    <w:rsid w:val="008A48EE"/>
    <w:rsid w:val="008A78BB"/>
    <w:rsid w:val="008B1E2C"/>
    <w:rsid w:val="008B311F"/>
    <w:rsid w:val="008B3872"/>
    <w:rsid w:val="008B4BEE"/>
    <w:rsid w:val="008B59D4"/>
    <w:rsid w:val="008B60A7"/>
    <w:rsid w:val="008C2634"/>
    <w:rsid w:val="008C31C3"/>
    <w:rsid w:val="008C3765"/>
    <w:rsid w:val="008C46BF"/>
    <w:rsid w:val="008C53E5"/>
    <w:rsid w:val="008C5FB6"/>
    <w:rsid w:val="008C6B2A"/>
    <w:rsid w:val="008D0783"/>
    <w:rsid w:val="008D11FF"/>
    <w:rsid w:val="008D2188"/>
    <w:rsid w:val="008D2575"/>
    <w:rsid w:val="008D4684"/>
    <w:rsid w:val="008D5003"/>
    <w:rsid w:val="008D5BB0"/>
    <w:rsid w:val="008D6315"/>
    <w:rsid w:val="008D73E7"/>
    <w:rsid w:val="008D7DF1"/>
    <w:rsid w:val="008E1351"/>
    <w:rsid w:val="008E1E92"/>
    <w:rsid w:val="008E2E04"/>
    <w:rsid w:val="008E4049"/>
    <w:rsid w:val="008E572E"/>
    <w:rsid w:val="008E6211"/>
    <w:rsid w:val="008E65AF"/>
    <w:rsid w:val="008E66E2"/>
    <w:rsid w:val="008E6F05"/>
    <w:rsid w:val="008E76A9"/>
    <w:rsid w:val="008E7B4B"/>
    <w:rsid w:val="008E7BA4"/>
    <w:rsid w:val="008F2EE5"/>
    <w:rsid w:val="008F5EE3"/>
    <w:rsid w:val="008F724A"/>
    <w:rsid w:val="008F79DB"/>
    <w:rsid w:val="00900597"/>
    <w:rsid w:val="00905BF3"/>
    <w:rsid w:val="00907490"/>
    <w:rsid w:val="00907868"/>
    <w:rsid w:val="00912699"/>
    <w:rsid w:val="00915597"/>
    <w:rsid w:val="00915FAC"/>
    <w:rsid w:val="00917B6B"/>
    <w:rsid w:val="00920110"/>
    <w:rsid w:val="00921701"/>
    <w:rsid w:val="00921FA3"/>
    <w:rsid w:val="00926383"/>
    <w:rsid w:val="009263A7"/>
    <w:rsid w:val="00926FC1"/>
    <w:rsid w:val="009302CE"/>
    <w:rsid w:val="00930F9B"/>
    <w:rsid w:val="009312B9"/>
    <w:rsid w:val="0093342D"/>
    <w:rsid w:val="0093392C"/>
    <w:rsid w:val="00935671"/>
    <w:rsid w:val="00936977"/>
    <w:rsid w:val="009426EA"/>
    <w:rsid w:val="00943C88"/>
    <w:rsid w:val="00944FF2"/>
    <w:rsid w:val="00945D48"/>
    <w:rsid w:val="00946C3B"/>
    <w:rsid w:val="00947AAA"/>
    <w:rsid w:val="00947C57"/>
    <w:rsid w:val="00952D19"/>
    <w:rsid w:val="009538B8"/>
    <w:rsid w:val="00954A0B"/>
    <w:rsid w:val="00954BFA"/>
    <w:rsid w:val="009567D9"/>
    <w:rsid w:val="00962956"/>
    <w:rsid w:val="00962EDD"/>
    <w:rsid w:val="00965977"/>
    <w:rsid w:val="00965CFA"/>
    <w:rsid w:val="00966C19"/>
    <w:rsid w:val="00970CE0"/>
    <w:rsid w:val="00970F9F"/>
    <w:rsid w:val="009724D6"/>
    <w:rsid w:val="009738CE"/>
    <w:rsid w:val="00974722"/>
    <w:rsid w:val="00975DD3"/>
    <w:rsid w:val="00976B0A"/>
    <w:rsid w:val="00981C84"/>
    <w:rsid w:val="0098492E"/>
    <w:rsid w:val="0098711E"/>
    <w:rsid w:val="00987E42"/>
    <w:rsid w:val="00990125"/>
    <w:rsid w:val="009908E7"/>
    <w:rsid w:val="009913C7"/>
    <w:rsid w:val="0099143C"/>
    <w:rsid w:val="00991AE4"/>
    <w:rsid w:val="009925CD"/>
    <w:rsid w:val="009944B6"/>
    <w:rsid w:val="00996EA2"/>
    <w:rsid w:val="009971D7"/>
    <w:rsid w:val="009A025F"/>
    <w:rsid w:val="009A2151"/>
    <w:rsid w:val="009A43FA"/>
    <w:rsid w:val="009A4C12"/>
    <w:rsid w:val="009B2B58"/>
    <w:rsid w:val="009B49A5"/>
    <w:rsid w:val="009B4BE7"/>
    <w:rsid w:val="009B5157"/>
    <w:rsid w:val="009B60F5"/>
    <w:rsid w:val="009B68EF"/>
    <w:rsid w:val="009C0A58"/>
    <w:rsid w:val="009C1383"/>
    <w:rsid w:val="009C3E52"/>
    <w:rsid w:val="009C4B55"/>
    <w:rsid w:val="009C7CF0"/>
    <w:rsid w:val="009D5A59"/>
    <w:rsid w:val="009E09B2"/>
    <w:rsid w:val="009E246F"/>
    <w:rsid w:val="009E2E97"/>
    <w:rsid w:val="009E3267"/>
    <w:rsid w:val="009E486E"/>
    <w:rsid w:val="009E5159"/>
    <w:rsid w:val="009E6FF3"/>
    <w:rsid w:val="009E7F5B"/>
    <w:rsid w:val="009F2818"/>
    <w:rsid w:val="009F2A4D"/>
    <w:rsid w:val="009F3BF4"/>
    <w:rsid w:val="009F41E9"/>
    <w:rsid w:val="009F4321"/>
    <w:rsid w:val="009F5DA0"/>
    <w:rsid w:val="009F64C2"/>
    <w:rsid w:val="009F6F1A"/>
    <w:rsid w:val="009F7640"/>
    <w:rsid w:val="009F7EDF"/>
    <w:rsid w:val="00A00A3E"/>
    <w:rsid w:val="00A00B7B"/>
    <w:rsid w:val="00A00F97"/>
    <w:rsid w:val="00A046AC"/>
    <w:rsid w:val="00A050D1"/>
    <w:rsid w:val="00A06EA9"/>
    <w:rsid w:val="00A12146"/>
    <w:rsid w:val="00A1258E"/>
    <w:rsid w:val="00A12FB1"/>
    <w:rsid w:val="00A13B45"/>
    <w:rsid w:val="00A163A0"/>
    <w:rsid w:val="00A17A4F"/>
    <w:rsid w:val="00A2152A"/>
    <w:rsid w:val="00A216F6"/>
    <w:rsid w:val="00A225AE"/>
    <w:rsid w:val="00A22C65"/>
    <w:rsid w:val="00A22CA3"/>
    <w:rsid w:val="00A2420C"/>
    <w:rsid w:val="00A25908"/>
    <w:rsid w:val="00A261F4"/>
    <w:rsid w:val="00A265D4"/>
    <w:rsid w:val="00A26AE3"/>
    <w:rsid w:val="00A26C47"/>
    <w:rsid w:val="00A315EE"/>
    <w:rsid w:val="00A316FD"/>
    <w:rsid w:val="00A333A5"/>
    <w:rsid w:val="00A370DE"/>
    <w:rsid w:val="00A37EC0"/>
    <w:rsid w:val="00A403D6"/>
    <w:rsid w:val="00A4049D"/>
    <w:rsid w:val="00A40A12"/>
    <w:rsid w:val="00A40A6F"/>
    <w:rsid w:val="00A40F96"/>
    <w:rsid w:val="00A4103B"/>
    <w:rsid w:val="00A41997"/>
    <w:rsid w:val="00A41A3C"/>
    <w:rsid w:val="00A41EE2"/>
    <w:rsid w:val="00A4328B"/>
    <w:rsid w:val="00A44CC1"/>
    <w:rsid w:val="00A51629"/>
    <w:rsid w:val="00A51C3C"/>
    <w:rsid w:val="00A51CDC"/>
    <w:rsid w:val="00A5382B"/>
    <w:rsid w:val="00A5429C"/>
    <w:rsid w:val="00A57650"/>
    <w:rsid w:val="00A61711"/>
    <w:rsid w:val="00A646AB"/>
    <w:rsid w:val="00A65701"/>
    <w:rsid w:val="00A66B98"/>
    <w:rsid w:val="00A67234"/>
    <w:rsid w:val="00A70217"/>
    <w:rsid w:val="00A730B6"/>
    <w:rsid w:val="00A750C3"/>
    <w:rsid w:val="00A7599C"/>
    <w:rsid w:val="00A75B6C"/>
    <w:rsid w:val="00A762A6"/>
    <w:rsid w:val="00A772F5"/>
    <w:rsid w:val="00A806A6"/>
    <w:rsid w:val="00A80C8D"/>
    <w:rsid w:val="00A813B9"/>
    <w:rsid w:val="00A85338"/>
    <w:rsid w:val="00A85637"/>
    <w:rsid w:val="00A85DA0"/>
    <w:rsid w:val="00A87060"/>
    <w:rsid w:val="00A878CF"/>
    <w:rsid w:val="00A90F56"/>
    <w:rsid w:val="00A92479"/>
    <w:rsid w:val="00A92A71"/>
    <w:rsid w:val="00A92CDB"/>
    <w:rsid w:val="00A940ED"/>
    <w:rsid w:val="00A94F52"/>
    <w:rsid w:val="00A9542B"/>
    <w:rsid w:val="00A969BC"/>
    <w:rsid w:val="00A9742C"/>
    <w:rsid w:val="00A97EED"/>
    <w:rsid w:val="00AA03B0"/>
    <w:rsid w:val="00AA1593"/>
    <w:rsid w:val="00AA1984"/>
    <w:rsid w:val="00AA23DD"/>
    <w:rsid w:val="00AA2FE8"/>
    <w:rsid w:val="00AA3184"/>
    <w:rsid w:val="00AA443D"/>
    <w:rsid w:val="00AA57C3"/>
    <w:rsid w:val="00AA5E98"/>
    <w:rsid w:val="00AB09AD"/>
    <w:rsid w:val="00AB125F"/>
    <w:rsid w:val="00AB19B5"/>
    <w:rsid w:val="00AB26D9"/>
    <w:rsid w:val="00AB2D80"/>
    <w:rsid w:val="00AB36E9"/>
    <w:rsid w:val="00AB4E6D"/>
    <w:rsid w:val="00AB4FF2"/>
    <w:rsid w:val="00AB53CA"/>
    <w:rsid w:val="00AB7EF8"/>
    <w:rsid w:val="00AC0CEC"/>
    <w:rsid w:val="00AC195C"/>
    <w:rsid w:val="00AC3AF5"/>
    <w:rsid w:val="00AC5595"/>
    <w:rsid w:val="00AC5CBD"/>
    <w:rsid w:val="00AC6192"/>
    <w:rsid w:val="00AC63E1"/>
    <w:rsid w:val="00AC68D1"/>
    <w:rsid w:val="00AC72CB"/>
    <w:rsid w:val="00AC75E7"/>
    <w:rsid w:val="00AC7F02"/>
    <w:rsid w:val="00AD14D5"/>
    <w:rsid w:val="00AD280B"/>
    <w:rsid w:val="00AD3FCB"/>
    <w:rsid w:val="00AD6D29"/>
    <w:rsid w:val="00AD7E57"/>
    <w:rsid w:val="00AE08F4"/>
    <w:rsid w:val="00AE2955"/>
    <w:rsid w:val="00AE2DF2"/>
    <w:rsid w:val="00AE52CB"/>
    <w:rsid w:val="00AF04BE"/>
    <w:rsid w:val="00AF1A76"/>
    <w:rsid w:val="00AF1E1B"/>
    <w:rsid w:val="00AF4D3C"/>
    <w:rsid w:val="00AF5BB8"/>
    <w:rsid w:val="00AF6E7D"/>
    <w:rsid w:val="00AF7C07"/>
    <w:rsid w:val="00B006EF"/>
    <w:rsid w:val="00B01D13"/>
    <w:rsid w:val="00B0201A"/>
    <w:rsid w:val="00B02C75"/>
    <w:rsid w:val="00B03758"/>
    <w:rsid w:val="00B03C64"/>
    <w:rsid w:val="00B04FE9"/>
    <w:rsid w:val="00B11106"/>
    <w:rsid w:val="00B16093"/>
    <w:rsid w:val="00B17133"/>
    <w:rsid w:val="00B200F5"/>
    <w:rsid w:val="00B22394"/>
    <w:rsid w:val="00B22E8C"/>
    <w:rsid w:val="00B2306B"/>
    <w:rsid w:val="00B25764"/>
    <w:rsid w:val="00B25F33"/>
    <w:rsid w:val="00B26496"/>
    <w:rsid w:val="00B30BEC"/>
    <w:rsid w:val="00B30C3D"/>
    <w:rsid w:val="00B31419"/>
    <w:rsid w:val="00B32605"/>
    <w:rsid w:val="00B34807"/>
    <w:rsid w:val="00B352D3"/>
    <w:rsid w:val="00B36127"/>
    <w:rsid w:val="00B37203"/>
    <w:rsid w:val="00B432CD"/>
    <w:rsid w:val="00B45042"/>
    <w:rsid w:val="00B465C8"/>
    <w:rsid w:val="00B473CF"/>
    <w:rsid w:val="00B474B8"/>
    <w:rsid w:val="00B5058B"/>
    <w:rsid w:val="00B51B1D"/>
    <w:rsid w:val="00B52600"/>
    <w:rsid w:val="00B533EF"/>
    <w:rsid w:val="00B53E49"/>
    <w:rsid w:val="00B56AB4"/>
    <w:rsid w:val="00B62FD6"/>
    <w:rsid w:val="00B651E6"/>
    <w:rsid w:val="00B65B70"/>
    <w:rsid w:val="00B73605"/>
    <w:rsid w:val="00B769B0"/>
    <w:rsid w:val="00B77F9F"/>
    <w:rsid w:val="00B8418E"/>
    <w:rsid w:val="00B915F0"/>
    <w:rsid w:val="00B91914"/>
    <w:rsid w:val="00B9274E"/>
    <w:rsid w:val="00B93896"/>
    <w:rsid w:val="00B94C2D"/>
    <w:rsid w:val="00B95A72"/>
    <w:rsid w:val="00B95EAA"/>
    <w:rsid w:val="00B97459"/>
    <w:rsid w:val="00BA3786"/>
    <w:rsid w:val="00BA3AB7"/>
    <w:rsid w:val="00BA448A"/>
    <w:rsid w:val="00BA4752"/>
    <w:rsid w:val="00BA48F7"/>
    <w:rsid w:val="00BA4E37"/>
    <w:rsid w:val="00BB08E0"/>
    <w:rsid w:val="00BB10B3"/>
    <w:rsid w:val="00BB4443"/>
    <w:rsid w:val="00BB7A57"/>
    <w:rsid w:val="00BC0DFB"/>
    <w:rsid w:val="00BC2748"/>
    <w:rsid w:val="00BC5732"/>
    <w:rsid w:val="00BC6200"/>
    <w:rsid w:val="00BC64E1"/>
    <w:rsid w:val="00BD2178"/>
    <w:rsid w:val="00BD391B"/>
    <w:rsid w:val="00BD4999"/>
    <w:rsid w:val="00BD66F4"/>
    <w:rsid w:val="00BD7E0F"/>
    <w:rsid w:val="00BD7EED"/>
    <w:rsid w:val="00BE04D3"/>
    <w:rsid w:val="00BE0EB3"/>
    <w:rsid w:val="00BE2131"/>
    <w:rsid w:val="00BE288D"/>
    <w:rsid w:val="00BE42B9"/>
    <w:rsid w:val="00BE4EFC"/>
    <w:rsid w:val="00BE5414"/>
    <w:rsid w:val="00BE5455"/>
    <w:rsid w:val="00BE68AF"/>
    <w:rsid w:val="00BF2F95"/>
    <w:rsid w:val="00BF31EF"/>
    <w:rsid w:val="00BF43D4"/>
    <w:rsid w:val="00BF43DE"/>
    <w:rsid w:val="00BF5435"/>
    <w:rsid w:val="00BF63FD"/>
    <w:rsid w:val="00BF6C08"/>
    <w:rsid w:val="00BF7C8F"/>
    <w:rsid w:val="00C02AB9"/>
    <w:rsid w:val="00C03278"/>
    <w:rsid w:val="00C068F2"/>
    <w:rsid w:val="00C0708F"/>
    <w:rsid w:val="00C1036F"/>
    <w:rsid w:val="00C12A5B"/>
    <w:rsid w:val="00C12F01"/>
    <w:rsid w:val="00C13C6B"/>
    <w:rsid w:val="00C14659"/>
    <w:rsid w:val="00C14781"/>
    <w:rsid w:val="00C16A77"/>
    <w:rsid w:val="00C17661"/>
    <w:rsid w:val="00C17FBB"/>
    <w:rsid w:val="00C2108E"/>
    <w:rsid w:val="00C21436"/>
    <w:rsid w:val="00C22EA3"/>
    <w:rsid w:val="00C23031"/>
    <w:rsid w:val="00C24494"/>
    <w:rsid w:val="00C24DAA"/>
    <w:rsid w:val="00C2548F"/>
    <w:rsid w:val="00C25A80"/>
    <w:rsid w:val="00C27A3F"/>
    <w:rsid w:val="00C3014C"/>
    <w:rsid w:val="00C336BB"/>
    <w:rsid w:val="00C359A1"/>
    <w:rsid w:val="00C3786A"/>
    <w:rsid w:val="00C40314"/>
    <w:rsid w:val="00C41A8E"/>
    <w:rsid w:val="00C433B4"/>
    <w:rsid w:val="00C43A51"/>
    <w:rsid w:val="00C455FF"/>
    <w:rsid w:val="00C47346"/>
    <w:rsid w:val="00C55BB8"/>
    <w:rsid w:val="00C56887"/>
    <w:rsid w:val="00C56A04"/>
    <w:rsid w:val="00C62B15"/>
    <w:rsid w:val="00C6334D"/>
    <w:rsid w:val="00C637CB"/>
    <w:rsid w:val="00C63ED5"/>
    <w:rsid w:val="00C64E9A"/>
    <w:rsid w:val="00C70B8A"/>
    <w:rsid w:val="00C71BEF"/>
    <w:rsid w:val="00C71C6A"/>
    <w:rsid w:val="00C72266"/>
    <w:rsid w:val="00C72C01"/>
    <w:rsid w:val="00C73FAC"/>
    <w:rsid w:val="00C7443C"/>
    <w:rsid w:val="00C76092"/>
    <w:rsid w:val="00C768D2"/>
    <w:rsid w:val="00C771FB"/>
    <w:rsid w:val="00C82799"/>
    <w:rsid w:val="00C840E5"/>
    <w:rsid w:val="00C844EF"/>
    <w:rsid w:val="00C846DA"/>
    <w:rsid w:val="00C859CB"/>
    <w:rsid w:val="00C85A63"/>
    <w:rsid w:val="00C862CE"/>
    <w:rsid w:val="00C86704"/>
    <w:rsid w:val="00C900D3"/>
    <w:rsid w:val="00C9144A"/>
    <w:rsid w:val="00C929D1"/>
    <w:rsid w:val="00C93D3E"/>
    <w:rsid w:val="00C96DC6"/>
    <w:rsid w:val="00C97FDA"/>
    <w:rsid w:val="00CA13EC"/>
    <w:rsid w:val="00CA181E"/>
    <w:rsid w:val="00CA2C37"/>
    <w:rsid w:val="00CA5A51"/>
    <w:rsid w:val="00CB63AD"/>
    <w:rsid w:val="00CB6EC5"/>
    <w:rsid w:val="00CC05C5"/>
    <w:rsid w:val="00CC6DB2"/>
    <w:rsid w:val="00CD009F"/>
    <w:rsid w:val="00CD1555"/>
    <w:rsid w:val="00CD313D"/>
    <w:rsid w:val="00CD3B41"/>
    <w:rsid w:val="00CD69F2"/>
    <w:rsid w:val="00CD7654"/>
    <w:rsid w:val="00CE2B36"/>
    <w:rsid w:val="00CE2E40"/>
    <w:rsid w:val="00CE3116"/>
    <w:rsid w:val="00CE34A7"/>
    <w:rsid w:val="00CE5658"/>
    <w:rsid w:val="00CE651D"/>
    <w:rsid w:val="00CF12A3"/>
    <w:rsid w:val="00CF4754"/>
    <w:rsid w:val="00CF573F"/>
    <w:rsid w:val="00CF7E73"/>
    <w:rsid w:val="00CF7F3A"/>
    <w:rsid w:val="00D00807"/>
    <w:rsid w:val="00D02FEE"/>
    <w:rsid w:val="00D03056"/>
    <w:rsid w:val="00D044F7"/>
    <w:rsid w:val="00D05D9D"/>
    <w:rsid w:val="00D062CC"/>
    <w:rsid w:val="00D11459"/>
    <w:rsid w:val="00D11D30"/>
    <w:rsid w:val="00D12B09"/>
    <w:rsid w:val="00D13AAB"/>
    <w:rsid w:val="00D13B96"/>
    <w:rsid w:val="00D13E94"/>
    <w:rsid w:val="00D21007"/>
    <w:rsid w:val="00D22759"/>
    <w:rsid w:val="00D23AF5"/>
    <w:rsid w:val="00D253E6"/>
    <w:rsid w:val="00D25528"/>
    <w:rsid w:val="00D25789"/>
    <w:rsid w:val="00D26171"/>
    <w:rsid w:val="00D26777"/>
    <w:rsid w:val="00D26918"/>
    <w:rsid w:val="00D2697E"/>
    <w:rsid w:val="00D30352"/>
    <w:rsid w:val="00D31301"/>
    <w:rsid w:val="00D33E27"/>
    <w:rsid w:val="00D3492A"/>
    <w:rsid w:val="00D35048"/>
    <w:rsid w:val="00D361FA"/>
    <w:rsid w:val="00D36DA1"/>
    <w:rsid w:val="00D40E8E"/>
    <w:rsid w:val="00D41004"/>
    <w:rsid w:val="00D413E4"/>
    <w:rsid w:val="00D438FC"/>
    <w:rsid w:val="00D43BFC"/>
    <w:rsid w:val="00D447BC"/>
    <w:rsid w:val="00D45498"/>
    <w:rsid w:val="00D46791"/>
    <w:rsid w:val="00D46A15"/>
    <w:rsid w:val="00D46A51"/>
    <w:rsid w:val="00D51495"/>
    <w:rsid w:val="00D51CEB"/>
    <w:rsid w:val="00D51FD2"/>
    <w:rsid w:val="00D52280"/>
    <w:rsid w:val="00D52BCA"/>
    <w:rsid w:val="00D530B8"/>
    <w:rsid w:val="00D53CB7"/>
    <w:rsid w:val="00D54217"/>
    <w:rsid w:val="00D54B97"/>
    <w:rsid w:val="00D552E3"/>
    <w:rsid w:val="00D55B4C"/>
    <w:rsid w:val="00D5679F"/>
    <w:rsid w:val="00D634CC"/>
    <w:rsid w:val="00D63544"/>
    <w:rsid w:val="00D63D07"/>
    <w:rsid w:val="00D64771"/>
    <w:rsid w:val="00D648C8"/>
    <w:rsid w:val="00D65221"/>
    <w:rsid w:val="00D659C9"/>
    <w:rsid w:val="00D66E72"/>
    <w:rsid w:val="00D719B3"/>
    <w:rsid w:val="00D731EA"/>
    <w:rsid w:val="00D73D05"/>
    <w:rsid w:val="00D75301"/>
    <w:rsid w:val="00D77584"/>
    <w:rsid w:val="00D779DD"/>
    <w:rsid w:val="00D77FB5"/>
    <w:rsid w:val="00D8569B"/>
    <w:rsid w:val="00D85D6D"/>
    <w:rsid w:val="00D8787B"/>
    <w:rsid w:val="00D87B41"/>
    <w:rsid w:val="00D87E67"/>
    <w:rsid w:val="00D92722"/>
    <w:rsid w:val="00D935E1"/>
    <w:rsid w:val="00D968DD"/>
    <w:rsid w:val="00D97F3F"/>
    <w:rsid w:val="00DA0E71"/>
    <w:rsid w:val="00DA24CB"/>
    <w:rsid w:val="00DA26FD"/>
    <w:rsid w:val="00DA49D7"/>
    <w:rsid w:val="00DA6BE9"/>
    <w:rsid w:val="00DA73DD"/>
    <w:rsid w:val="00DB0EBB"/>
    <w:rsid w:val="00DB1D52"/>
    <w:rsid w:val="00DB2456"/>
    <w:rsid w:val="00DB2A44"/>
    <w:rsid w:val="00DB64DF"/>
    <w:rsid w:val="00DB6C16"/>
    <w:rsid w:val="00DB75EB"/>
    <w:rsid w:val="00DB7734"/>
    <w:rsid w:val="00DC265C"/>
    <w:rsid w:val="00DC4A1B"/>
    <w:rsid w:val="00DC508A"/>
    <w:rsid w:val="00DC70F0"/>
    <w:rsid w:val="00DC7EE6"/>
    <w:rsid w:val="00DD22D0"/>
    <w:rsid w:val="00DD2C86"/>
    <w:rsid w:val="00DD2ECB"/>
    <w:rsid w:val="00DD2F5A"/>
    <w:rsid w:val="00DD4363"/>
    <w:rsid w:val="00DD559E"/>
    <w:rsid w:val="00DD620D"/>
    <w:rsid w:val="00DD6AA9"/>
    <w:rsid w:val="00DE1244"/>
    <w:rsid w:val="00DE447C"/>
    <w:rsid w:val="00DE55A4"/>
    <w:rsid w:val="00DE55FD"/>
    <w:rsid w:val="00DE6B19"/>
    <w:rsid w:val="00DE7041"/>
    <w:rsid w:val="00DE7674"/>
    <w:rsid w:val="00DF43E9"/>
    <w:rsid w:val="00DF48F8"/>
    <w:rsid w:val="00DF5C36"/>
    <w:rsid w:val="00DF6180"/>
    <w:rsid w:val="00DF6ABE"/>
    <w:rsid w:val="00DF6B6C"/>
    <w:rsid w:val="00DF6BE8"/>
    <w:rsid w:val="00DF7C64"/>
    <w:rsid w:val="00DF7D84"/>
    <w:rsid w:val="00E00AE7"/>
    <w:rsid w:val="00E01358"/>
    <w:rsid w:val="00E02A1F"/>
    <w:rsid w:val="00E12C02"/>
    <w:rsid w:val="00E12CCF"/>
    <w:rsid w:val="00E1411C"/>
    <w:rsid w:val="00E14623"/>
    <w:rsid w:val="00E14B56"/>
    <w:rsid w:val="00E15D57"/>
    <w:rsid w:val="00E16ABB"/>
    <w:rsid w:val="00E16F81"/>
    <w:rsid w:val="00E22E23"/>
    <w:rsid w:val="00E23836"/>
    <w:rsid w:val="00E23B57"/>
    <w:rsid w:val="00E23BB0"/>
    <w:rsid w:val="00E23F9D"/>
    <w:rsid w:val="00E241B0"/>
    <w:rsid w:val="00E25394"/>
    <w:rsid w:val="00E25E0F"/>
    <w:rsid w:val="00E2679A"/>
    <w:rsid w:val="00E26A17"/>
    <w:rsid w:val="00E26AFE"/>
    <w:rsid w:val="00E27D6E"/>
    <w:rsid w:val="00E30031"/>
    <w:rsid w:val="00E30046"/>
    <w:rsid w:val="00E31FFB"/>
    <w:rsid w:val="00E32323"/>
    <w:rsid w:val="00E32501"/>
    <w:rsid w:val="00E33081"/>
    <w:rsid w:val="00E33307"/>
    <w:rsid w:val="00E348CB"/>
    <w:rsid w:val="00E349B0"/>
    <w:rsid w:val="00E37BA8"/>
    <w:rsid w:val="00E406B7"/>
    <w:rsid w:val="00E40B32"/>
    <w:rsid w:val="00E438EA"/>
    <w:rsid w:val="00E43936"/>
    <w:rsid w:val="00E5006E"/>
    <w:rsid w:val="00E50B63"/>
    <w:rsid w:val="00E51063"/>
    <w:rsid w:val="00E52388"/>
    <w:rsid w:val="00E53CBB"/>
    <w:rsid w:val="00E60544"/>
    <w:rsid w:val="00E60A1D"/>
    <w:rsid w:val="00E61713"/>
    <w:rsid w:val="00E622DE"/>
    <w:rsid w:val="00E657A5"/>
    <w:rsid w:val="00E67C4D"/>
    <w:rsid w:val="00E70531"/>
    <w:rsid w:val="00E711F4"/>
    <w:rsid w:val="00E713A1"/>
    <w:rsid w:val="00E71AB6"/>
    <w:rsid w:val="00E73B1C"/>
    <w:rsid w:val="00E755A8"/>
    <w:rsid w:val="00E75A30"/>
    <w:rsid w:val="00E763D8"/>
    <w:rsid w:val="00E7657C"/>
    <w:rsid w:val="00E7673D"/>
    <w:rsid w:val="00E81FA8"/>
    <w:rsid w:val="00E83C3D"/>
    <w:rsid w:val="00E84CA3"/>
    <w:rsid w:val="00E85007"/>
    <w:rsid w:val="00E86700"/>
    <w:rsid w:val="00E91482"/>
    <w:rsid w:val="00E926E6"/>
    <w:rsid w:val="00E93E7E"/>
    <w:rsid w:val="00E96914"/>
    <w:rsid w:val="00EA01D8"/>
    <w:rsid w:val="00EA05B9"/>
    <w:rsid w:val="00EA3753"/>
    <w:rsid w:val="00EA4743"/>
    <w:rsid w:val="00EA6158"/>
    <w:rsid w:val="00EA6EA9"/>
    <w:rsid w:val="00EA78B8"/>
    <w:rsid w:val="00EA7FDD"/>
    <w:rsid w:val="00EB05FE"/>
    <w:rsid w:val="00EB100B"/>
    <w:rsid w:val="00EB107B"/>
    <w:rsid w:val="00EB42FE"/>
    <w:rsid w:val="00EB50ED"/>
    <w:rsid w:val="00EB5665"/>
    <w:rsid w:val="00EB5691"/>
    <w:rsid w:val="00EB5782"/>
    <w:rsid w:val="00EB6307"/>
    <w:rsid w:val="00EB6607"/>
    <w:rsid w:val="00EC06F6"/>
    <w:rsid w:val="00EC1363"/>
    <w:rsid w:val="00EC22FA"/>
    <w:rsid w:val="00EC3479"/>
    <w:rsid w:val="00EC380C"/>
    <w:rsid w:val="00EC4607"/>
    <w:rsid w:val="00EC4923"/>
    <w:rsid w:val="00EC6122"/>
    <w:rsid w:val="00EC6449"/>
    <w:rsid w:val="00EC6611"/>
    <w:rsid w:val="00EC6FA0"/>
    <w:rsid w:val="00ED18A4"/>
    <w:rsid w:val="00ED4359"/>
    <w:rsid w:val="00EE24D3"/>
    <w:rsid w:val="00EE7F73"/>
    <w:rsid w:val="00EF1384"/>
    <w:rsid w:val="00EF1CDA"/>
    <w:rsid w:val="00EF26F1"/>
    <w:rsid w:val="00EF29B7"/>
    <w:rsid w:val="00EF41BD"/>
    <w:rsid w:val="00EF6DBB"/>
    <w:rsid w:val="00F026DA"/>
    <w:rsid w:val="00F03639"/>
    <w:rsid w:val="00F04220"/>
    <w:rsid w:val="00F07798"/>
    <w:rsid w:val="00F118AC"/>
    <w:rsid w:val="00F12CF3"/>
    <w:rsid w:val="00F1507D"/>
    <w:rsid w:val="00F16D0B"/>
    <w:rsid w:val="00F21B86"/>
    <w:rsid w:val="00F2311E"/>
    <w:rsid w:val="00F236F1"/>
    <w:rsid w:val="00F326CB"/>
    <w:rsid w:val="00F340F8"/>
    <w:rsid w:val="00F34303"/>
    <w:rsid w:val="00F346F7"/>
    <w:rsid w:val="00F36CE0"/>
    <w:rsid w:val="00F37CC6"/>
    <w:rsid w:val="00F40FDB"/>
    <w:rsid w:val="00F41297"/>
    <w:rsid w:val="00F45624"/>
    <w:rsid w:val="00F46254"/>
    <w:rsid w:val="00F500F2"/>
    <w:rsid w:val="00F5617F"/>
    <w:rsid w:val="00F56B26"/>
    <w:rsid w:val="00F57B2D"/>
    <w:rsid w:val="00F618C1"/>
    <w:rsid w:val="00F62246"/>
    <w:rsid w:val="00F63AAB"/>
    <w:rsid w:val="00F6428F"/>
    <w:rsid w:val="00F64DCF"/>
    <w:rsid w:val="00F67356"/>
    <w:rsid w:val="00F67BCA"/>
    <w:rsid w:val="00F7001A"/>
    <w:rsid w:val="00F70A3E"/>
    <w:rsid w:val="00F7275C"/>
    <w:rsid w:val="00F73A36"/>
    <w:rsid w:val="00F73DF8"/>
    <w:rsid w:val="00F74919"/>
    <w:rsid w:val="00F7645B"/>
    <w:rsid w:val="00F773AA"/>
    <w:rsid w:val="00F808C8"/>
    <w:rsid w:val="00F812F6"/>
    <w:rsid w:val="00F81F56"/>
    <w:rsid w:val="00F850AA"/>
    <w:rsid w:val="00F87641"/>
    <w:rsid w:val="00F87E99"/>
    <w:rsid w:val="00F907CF"/>
    <w:rsid w:val="00F90D2F"/>
    <w:rsid w:val="00F913B6"/>
    <w:rsid w:val="00F91DFE"/>
    <w:rsid w:val="00F935E8"/>
    <w:rsid w:val="00F94E63"/>
    <w:rsid w:val="00F9605E"/>
    <w:rsid w:val="00FA0870"/>
    <w:rsid w:val="00FA1A39"/>
    <w:rsid w:val="00FA4657"/>
    <w:rsid w:val="00FA4C3B"/>
    <w:rsid w:val="00FA61C2"/>
    <w:rsid w:val="00FA7989"/>
    <w:rsid w:val="00FB07F7"/>
    <w:rsid w:val="00FB204A"/>
    <w:rsid w:val="00FB23B5"/>
    <w:rsid w:val="00FB244A"/>
    <w:rsid w:val="00FB2491"/>
    <w:rsid w:val="00FB5E29"/>
    <w:rsid w:val="00FC0BF0"/>
    <w:rsid w:val="00FC1045"/>
    <w:rsid w:val="00FC1D71"/>
    <w:rsid w:val="00FC46FE"/>
    <w:rsid w:val="00FC4D0E"/>
    <w:rsid w:val="00FC5175"/>
    <w:rsid w:val="00FC622C"/>
    <w:rsid w:val="00FC75CB"/>
    <w:rsid w:val="00FD1F26"/>
    <w:rsid w:val="00FD4C70"/>
    <w:rsid w:val="00FD6801"/>
    <w:rsid w:val="00FD7265"/>
    <w:rsid w:val="00FD7768"/>
    <w:rsid w:val="00FE0105"/>
    <w:rsid w:val="00FE4DBD"/>
    <w:rsid w:val="00FE69BF"/>
    <w:rsid w:val="00FE756F"/>
    <w:rsid w:val="00FF20BF"/>
    <w:rsid w:val="00FF2924"/>
    <w:rsid w:val="00FF3394"/>
    <w:rsid w:val="00FF5C78"/>
    <w:rsid w:val="00FF7FDA"/>
    <w:rsid w:val="013B439C"/>
    <w:rsid w:val="02196081"/>
    <w:rsid w:val="02640C87"/>
    <w:rsid w:val="051F64CD"/>
    <w:rsid w:val="05E53517"/>
    <w:rsid w:val="06163C28"/>
    <w:rsid w:val="07570284"/>
    <w:rsid w:val="08C80821"/>
    <w:rsid w:val="092F12E2"/>
    <w:rsid w:val="0B2958FA"/>
    <w:rsid w:val="0B3715BD"/>
    <w:rsid w:val="0B8C5226"/>
    <w:rsid w:val="0B9C53FB"/>
    <w:rsid w:val="0C423EE6"/>
    <w:rsid w:val="0D687481"/>
    <w:rsid w:val="0E2503E7"/>
    <w:rsid w:val="0E443F1F"/>
    <w:rsid w:val="0E614F4E"/>
    <w:rsid w:val="0F3613CF"/>
    <w:rsid w:val="0F6C504D"/>
    <w:rsid w:val="101D67DD"/>
    <w:rsid w:val="10E7182E"/>
    <w:rsid w:val="114F56EA"/>
    <w:rsid w:val="119854AA"/>
    <w:rsid w:val="12EB6C35"/>
    <w:rsid w:val="13BC6B97"/>
    <w:rsid w:val="147038AD"/>
    <w:rsid w:val="15826D70"/>
    <w:rsid w:val="15F35B22"/>
    <w:rsid w:val="168E6271"/>
    <w:rsid w:val="16F10751"/>
    <w:rsid w:val="174167DB"/>
    <w:rsid w:val="17BB54EA"/>
    <w:rsid w:val="17C80F8F"/>
    <w:rsid w:val="17F22E0F"/>
    <w:rsid w:val="19113FD5"/>
    <w:rsid w:val="19550374"/>
    <w:rsid w:val="19FD2470"/>
    <w:rsid w:val="1A4C7F5E"/>
    <w:rsid w:val="1A993D1C"/>
    <w:rsid w:val="1AF23E6D"/>
    <w:rsid w:val="1B0C3E05"/>
    <w:rsid w:val="1BD53722"/>
    <w:rsid w:val="1C766C72"/>
    <w:rsid w:val="1CBE6760"/>
    <w:rsid w:val="1CC41BED"/>
    <w:rsid w:val="1D394F10"/>
    <w:rsid w:val="1D430209"/>
    <w:rsid w:val="1DAF5ED1"/>
    <w:rsid w:val="1DD75790"/>
    <w:rsid w:val="1E282035"/>
    <w:rsid w:val="1E305D79"/>
    <w:rsid w:val="1E437E73"/>
    <w:rsid w:val="1EEF5B2B"/>
    <w:rsid w:val="1F196140"/>
    <w:rsid w:val="1F6F05F8"/>
    <w:rsid w:val="205F3090"/>
    <w:rsid w:val="21DE03C2"/>
    <w:rsid w:val="221A3B63"/>
    <w:rsid w:val="2269241F"/>
    <w:rsid w:val="22A726C4"/>
    <w:rsid w:val="239955BB"/>
    <w:rsid w:val="23A542DD"/>
    <w:rsid w:val="24681528"/>
    <w:rsid w:val="247F7043"/>
    <w:rsid w:val="24B63636"/>
    <w:rsid w:val="24B855F1"/>
    <w:rsid w:val="2507032D"/>
    <w:rsid w:val="27B25D64"/>
    <w:rsid w:val="27C037BA"/>
    <w:rsid w:val="28140581"/>
    <w:rsid w:val="28186BCD"/>
    <w:rsid w:val="289E04DF"/>
    <w:rsid w:val="29E15855"/>
    <w:rsid w:val="2C8A472A"/>
    <w:rsid w:val="2D20668C"/>
    <w:rsid w:val="2DF7603B"/>
    <w:rsid w:val="2E84240A"/>
    <w:rsid w:val="2F437F16"/>
    <w:rsid w:val="2F9D06E4"/>
    <w:rsid w:val="303B7AF5"/>
    <w:rsid w:val="30D067A7"/>
    <w:rsid w:val="325F05F3"/>
    <w:rsid w:val="333C6A2F"/>
    <w:rsid w:val="33EA4CEC"/>
    <w:rsid w:val="35963A29"/>
    <w:rsid w:val="35F11FB3"/>
    <w:rsid w:val="36077B08"/>
    <w:rsid w:val="391A790A"/>
    <w:rsid w:val="397A6F0C"/>
    <w:rsid w:val="3A20001D"/>
    <w:rsid w:val="3B9B3421"/>
    <w:rsid w:val="3C565860"/>
    <w:rsid w:val="3D0A321F"/>
    <w:rsid w:val="3D825BA6"/>
    <w:rsid w:val="3DD82138"/>
    <w:rsid w:val="3DE065FB"/>
    <w:rsid w:val="3E45515D"/>
    <w:rsid w:val="3E621D06"/>
    <w:rsid w:val="3E690F11"/>
    <w:rsid w:val="3F7D760C"/>
    <w:rsid w:val="40247A07"/>
    <w:rsid w:val="40A947E4"/>
    <w:rsid w:val="40BE1DA2"/>
    <w:rsid w:val="40CF2881"/>
    <w:rsid w:val="410A545F"/>
    <w:rsid w:val="41D62E49"/>
    <w:rsid w:val="42515D80"/>
    <w:rsid w:val="42613732"/>
    <w:rsid w:val="42615711"/>
    <w:rsid w:val="426B7BE8"/>
    <w:rsid w:val="431721BC"/>
    <w:rsid w:val="43325A10"/>
    <w:rsid w:val="433C6718"/>
    <w:rsid w:val="435E7EA4"/>
    <w:rsid w:val="44BA5A65"/>
    <w:rsid w:val="44E333F8"/>
    <w:rsid w:val="44F42CD8"/>
    <w:rsid w:val="456431CD"/>
    <w:rsid w:val="460B073F"/>
    <w:rsid w:val="460D568F"/>
    <w:rsid w:val="473C4BE2"/>
    <w:rsid w:val="47C17EAE"/>
    <w:rsid w:val="48015883"/>
    <w:rsid w:val="488317BF"/>
    <w:rsid w:val="49331741"/>
    <w:rsid w:val="4973094A"/>
    <w:rsid w:val="4A2175A7"/>
    <w:rsid w:val="4A221666"/>
    <w:rsid w:val="4CA47D87"/>
    <w:rsid w:val="4D3E7AFD"/>
    <w:rsid w:val="4DDA10BD"/>
    <w:rsid w:val="4E316100"/>
    <w:rsid w:val="4EF02A66"/>
    <w:rsid w:val="4EF039B2"/>
    <w:rsid w:val="4F4F05E1"/>
    <w:rsid w:val="4FED25EE"/>
    <w:rsid w:val="4FF81A49"/>
    <w:rsid w:val="511A30A5"/>
    <w:rsid w:val="511C00A2"/>
    <w:rsid w:val="523F4E79"/>
    <w:rsid w:val="526A53BF"/>
    <w:rsid w:val="52A03FB0"/>
    <w:rsid w:val="53483A22"/>
    <w:rsid w:val="534F33F7"/>
    <w:rsid w:val="53F524E3"/>
    <w:rsid w:val="563731EC"/>
    <w:rsid w:val="56383ADE"/>
    <w:rsid w:val="568A5454"/>
    <w:rsid w:val="56B93BEE"/>
    <w:rsid w:val="57C409F2"/>
    <w:rsid w:val="583D06F4"/>
    <w:rsid w:val="5876044D"/>
    <w:rsid w:val="58D326E3"/>
    <w:rsid w:val="58F50CE0"/>
    <w:rsid w:val="593D0D32"/>
    <w:rsid w:val="596C3F1B"/>
    <w:rsid w:val="59EC4C1B"/>
    <w:rsid w:val="5A656723"/>
    <w:rsid w:val="5AC00451"/>
    <w:rsid w:val="5B6D62A2"/>
    <w:rsid w:val="5B9C1A2D"/>
    <w:rsid w:val="5BD45B37"/>
    <w:rsid w:val="5C394E89"/>
    <w:rsid w:val="5D1155FC"/>
    <w:rsid w:val="5F1E1DE6"/>
    <w:rsid w:val="5F3971F6"/>
    <w:rsid w:val="5F710695"/>
    <w:rsid w:val="5F7718D5"/>
    <w:rsid w:val="60345F9B"/>
    <w:rsid w:val="603D2794"/>
    <w:rsid w:val="60576021"/>
    <w:rsid w:val="60881D45"/>
    <w:rsid w:val="60975658"/>
    <w:rsid w:val="613B4CE7"/>
    <w:rsid w:val="615B0313"/>
    <w:rsid w:val="61821C36"/>
    <w:rsid w:val="62AF43BF"/>
    <w:rsid w:val="62B02310"/>
    <w:rsid w:val="635963AE"/>
    <w:rsid w:val="63E84952"/>
    <w:rsid w:val="64B64E36"/>
    <w:rsid w:val="64D711B1"/>
    <w:rsid w:val="66377271"/>
    <w:rsid w:val="665B62A8"/>
    <w:rsid w:val="668E249C"/>
    <w:rsid w:val="67325E89"/>
    <w:rsid w:val="67B8757F"/>
    <w:rsid w:val="686E0661"/>
    <w:rsid w:val="68FB031B"/>
    <w:rsid w:val="69220E15"/>
    <w:rsid w:val="6A7019DC"/>
    <w:rsid w:val="6A783AEF"/>
    <w:rsid w:val="6ADA6C4C"/>
    <w:rsid w:val="6AEC4983"/>
    <w:rsid w:val="6B871780"/>
    <w:rsid w:val="6C420B17"/>
    <w:rsid w:val="6C970163"/>
    <w:rsid w:val="6CCC19A5"/>
    <w:rsid w:val="6D1C2FE4"/>
    <w:rsid w:val="6D961CDF"/>
    <w:rsid w:val="6E2C658A"/>
    <w:rsid w:val="6F9479A3"/>
    <w:rsid w:val="70FD4F38"/>
    <w:rsid w:val="714F7B54"/>
    <w:rsid w:val="71531C11"/>
    <w:rsid w:val="71620A99"/>
    <w:rsid w:val="71921E16"/>
    <w:rsid w:val="72156B71"/>
    <w:rsid w:val="73A66A3C"/>
    <w:rsid w:val="742F5C40"/>
    <w:rsid w:val="74BD2ADD"/>
    <w:rsid w:val="760E00AD"/>
    <w:rsid w:val="765103F9"/>
    <w:rsid w:val="76BA0C63"/>
    <w:rsid w:val="76C754AC"/>
    <w:rsid w:val="76FE43CB"/>
    <w:rsid w:val="774D7BE2"/>
    <w:rsid w:val="782D42C4"/>
    <w:rsid w:val="782E01A1"/>
    <w:rsid w:val="79220F85"/>
    <w:rsid w:val="79383F64"/>
    <w:rsid w:val="7947209F"/>
    <w:rsid w:val="7BE61FF3"/>
    <w:rsid w:val="7BFC07B3"/>
    <w:rsid w:val="7C3D0B7F"/>
    <w:rsid w:val="7C6C5E7A"/>
    <w:rsid w:val="7C761483"/>
    <w:rsid w:val="7CA236F8"/>
    <w:rsid w:val="7CA519EC"/>
    <w:rsid w:val="7D641074"/>
    <w:rsid w:val="7DF412B2"/>
    <w:rsid w:val="7E076FBD"/>
    <w:rsid w:val="7E6F675F"/>
    <w:rsid w:val="7E843CF0"/>
    <w:rsid w:val="7E87288C"/>
    <w:rsid w:val="7FFB25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nhideWhenUsed="0" w:uiPriority="0" w:semiHidden="0"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nhideWhenUsed="0" w:uiPriority="0" w:semiHidden="0"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character" w:default="1" w:styleId="23">
    <w:name w:val="Default Paragraph Font"/>
    <w:uiPriority w:val="0"/>
  </w:style>
  <w:style w:type="table" w:default="1" w:styleId="21">
    <w:name w:val="Normal Table"/>
    <w:unhideWhenUsed/>
    <w:uiPriority w:val="99"/>
    <w:tblPr>
      <w:tblCellMar>
        <w:top w:w="0" w:type="dxa"/>
        <w:left w:w="108" w:type="dxa"/>
        <w:bottom w:w="0" w:type="dxa"/>
        <w:right w:w="108" w:type="dxa"/>
      </w:tblCellMar>
    </w:tblPr>
  </w:style>
  <w:style w:type="paragraph" w:styleId="3">
    <w:name w:val="toc 7"/>
    <w:basedOn w:val="1"/>
    <w:next w:val="1"/>
    <w:unhideWhenUsed/>
    <w:uiPriority w:val="39"/>
    <w:pPr>
      <w:ind w:left="2520" w:leftChars="1200"/>
    </w:pPr>
    <w:rPr>
      <w:rFonts w:ascii="Calibri" w:hAnsi="Calibri" w:eastAsia="宋体" w:cs="Times New Roman"/>
      <w:szCs w:val="22"/>
    </w:rPr>
  </w:style>
  <w:style w:type="paragraph" w:styleId="4">
    <w:name w:val="annotation text"/>
    <w:basedOn w:val="1"/>
    <w:link w:val="29"/>
    <w:uiPriority w:val="0"/>
    <w:pPr>
      <w:jc w:val="left"/>
    </w:pPr>
  </w:style>
  <w:style w:type="paragraph" w:styleId="5">
    <w:name w:val="Body Text Indent"/>
    <w:basedOn w:val="1"/>
    <w:link w:val="30"/>
    <w:unhideWhenUsed/>
    <w:uiPriority w:val="99"/>
    <w:pPr>
      <w:spacing w:after="120"/>
      <w:ind w:left="420" w:leftChars="200"/>
    </w:pPr>
  </w:style>
  <w:style w:type="paragraph" w:styleId="6">
    <w:name w:val="toc 5"/>
    <w:basedOn w:val="1"/>
    <w:next w:val="1"/>
    <w:unhideWhenUsed/>
    <w:uiPriority w:val="39"/>
    <w:pPr>
      <w:ind w:left="1680" w:leftChars="800"/>
    </w:pPr>
    <w:rPr>
      <w:rFonts w:ascii="Calibri" w:hAnsi="Calibri" w:eastAsia="宋体" w:cs="Times New Roman"/>
      <w:szCs w:val="22"/>
    </w:rPr>
  </w:style>
  <w:style w:type="paragraph" w:styleId="7">
    <w:name w:val="toc 3"/>
    <w:basedOn w:val="1"/>
    <w:next w:val="1"/>
    <w:unhideWhenUsed/>
    <w:uiPriority w:val="39"/>
    <w:pPr>
      <w:widowControl/>
      <w:spacing w:after="100" w:line="259" w:lineRule="auto"/>
      <w:ind w:left="440"/>
      <w:jc w:val="left"/>
    </w:pPr>
    <w:rPr>
      <w:rFonts w:ascii="Calibri" w:hAnsi="Calibri" w:eastAsia="宋体"/>
      <w:kern w:val="0"/>
      <w:sz w:val="22"/>
      <w:szCs w:val="22"/>
    </w:rPr>
  </w:style>
  <w:style w:type="paragraph" w:styleId="8">
    <w:name w:val="Plain Text"/>
    <w:basedOn w:val="1"/>
    <w:link w:val="31"/>
    <w:uiPriority w:val="0"/>
    <w:rPr>
      <w:rFonts w:ascii="宋体" w:hAnsi="Courier New" w:cs="宋体"/>
    </w:rPr>
  </w:style>
  <w:style w:type="paragraph" w:styleId="9">
    <w:name w:val="toc 8"/>
    <w:basedOn w:val="1"/>
    <w:next w:val="1"/>
    <w:unhideWhenUsed/>
    <w:qFormat/>
    <w:uiPriority w:val="39"/>
    <w:pPr>
      <w:ind w:left="2940" w:leftChars="1400"/>
    </w:pPr>
    <w:rPr>
      <w:rFonts w:ascii="Calibri" w:hAnsi="Calibri" w:eastAsia="宋体" w:cs="Times New Roman"/>
      <w:szCs w:val="22"/>
    </w:rPr>
  </w:style>
  <w:style w:type="paragraph" w:styleId="10">
    <w:name w:val="Body Text Indent 2"/>
    <w:basedOn w:val="1"/>
    <w:unhideWhenUsed/>
    <w:uiPriority w:val="99"/>
    <w:pPr>
      <w:ind w:left="980"/>
    </w:pPr>
    <w:rPr>
      <w:sz w:val="24"/>
    </w:rPr>
  </w:style>
  <w:style w:type="paragraph" w:styleId="11">
    <w:name w:val="Balloon Text"/>
    <w:basedOn w:val="1"/>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pPr>
      <w:tabs>
        <w:tab w:val="left" w:pos="630"/>
        <w:tab w:val="right" w:leader="dot" w:pos="7938"/>
      </w:tabs>
      <w:jc w:val="center"/>
    </w:pPr>
    <w:rPr>
      <w:b/>
      <w:bCs/>
      <w:sz w:val="28"/>
      <w:szCs w:val="28"/>
    </w:rPr>
  </w:style>
  <w:style w:type="paragraph" w:styleId="15">
    <w:name w:val="toc 4"/>
    <w:basedOn w:val="1"/>
    <w:next w:val="1"/>
    <w:unhideWhenUsed/>
    <w:uiPriority w:val="39"/>
    <w:pPr>
      <w:ind w:left="1260" w:leftChars="600"/>
    </w:pPr>
    <w:rPr>
      <w:rFonts w:ascii="Calibri" w:hAnsi="Calibri" w:eastAsia="宋体" w:cs="Times New Roman"/>
      <w:szCs w:val="22"/>
    </w:rPr>
  </w:style>
  <w:style w:type="paragraph" w:styleId="16">
    <w:name w:val="toc 6"/>
    <w:basedOn w:val="1"/>
    <w:next w:val="1"/>
    <w:unhideWhenUsed/>
    <w:uiPriority w:val="39"/>
    <w:pPr>
      <w:ind w:left="2100" w:leftChars="1000"/>
    </w:pPr>
    <w:rPr>
      <w:rFonts w:ascii="Calibri" w:hAnsi="Calibri" w:eastAsia="宋体" w:cs="Times New Roman"/>
      <w:szCs w:val="22"/>
    </w:rPr>
  </w:style>
  <w:style w:type="paragraph" w:styleId="17">
    <w:name w:val="Body Text Indent 3"/>
    <w:basedOn w:val="1"/>
    <w:link w:val="34"/>
    <w:uiPriority w:val="0"/>
    <w:pPr>
      <w:spacing w:before="78" w:beforeLines="25" w:line="400" w:lineRule="exact"/>
      <w:ind w:firstLine="480" w:firstLineChars="200"/>
    </w:pPr>
    <w:rPr>
      <w:rFonts w:ascii="宋体" w:hAnsi="宋体"/>
      <w:b/>
      <w:bCs/>
      <w:sz w:val="24"/>
      <w:szCs w:val="24"/>
    </w:rPr>
  </w:style>
  <w:style w:type="paragraph" w:styleId="18">
    <w:name w:val="toc 2"/>
    <w:basedOn w:val="1"/>
    <w:next w:val="1"/>
    <w:unhideWhenUsed/>
    <w:uiPriority w:val="39"/>
    <w:pPr>
      <w:ind w:left="420" w:leftChars="200"/>
    </w:pPr>
  </w:style>
  <w:style w:type="paragraph" w:styleId="19">
    <w:name w:val="toc 9"/>
    <w:basedOn w:val="1"/>
    <w:next w:val="1"/>
    <w:unhideWhenUsed/>
    <w:uiPriority w:val="39"/>
    <w:pPr>
      <w:ind w:left="3360" w:leftChars="1600"/>
    </w:pPr>
    <w:rPr>
      <w:rFonts w:ascii="Calibri" w:hAnsi="Calibri" w:eastAsia="宋体" w:cs="Times New Roman"/>
      <w:szCs w:val="22"/>
    </w:rPr>
  </w:style>
  <w:style w:type="paragraph" w:styleId="20">
    <w:name w:val="annotation subject"/>
    <w:basedOn w:val="4"/>
    <w:next w:val="4"/>
    <w:link w:val="35"/>
    <w:unhideWhenUsed/>
    <w:uiPriority w:val="99"/>
    <w:rPr>
      <w:b/>
      <w:bCs/>
    </w:rPr>
  </w:style>
  <w:style w:type="table" w:styleId="22">
    <w:name w:val="Table Grid"/>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FollowedHyperlink"/>
    <w:unhideWhenUsed/>
    <w:uiPriority w:val="99"/>
    <w:rPr>
      <w:color w:val="800080"/>
      <w:u w:val="single"/>
    </w:rPr>
  </w:style>
  <w:style w:type="character" w:styleId="26">
    <w:name w:val="Hyperlink"/>
    <w:unhideWhenUsed/>
    <w:uiPriority w:val="99"/>
    <w:rPr>
      <w:color w:val="0563C1"/>
      <w:u w:val="single"/>
    </w:rPr>
  </w:style>
  <w:style w:type="character" w:styleId="27">
    <w:name w:val="annotation reference"/>
    <w:unhideWhenUsed/>
    <w:uiPriority w:val="99"/>
    <w:rPr>
      <w:sz w:val="21"/>
      <w:szCs w:val="21"/>
    </w:rPr>
  </w:style>
  <w:style w:type="character" w:customStyle="1" w:styleId="28">
    <w:name w:val="标题 1 字符"/>
    <w:link w:val="2"/>
    <w:uiPriority w:val="9"/>
    <w:rPr>
      <w:b/>
      <w:bCs/>
      <w:kern w:val="44"/>
      <w:sz w:val="44"/>
      <w:szCs w:val="44"/>
      <w:lang w:bidi="ar-SA"/>
    </w:rPr>
  </w:style>
  <w:style w:type="character" w:customStyle="1" w:styleId="29">
    <w:name w:val="批注文字 字符"/>
    <w:link w:val="4"/>
    <w:uiPriority w:val="0"/>
    <w:rPr>
      <w:kern w:val="2"/>
      <w:sz w:val="21"/>
      <w:szCs w:val="21"/>
    </w:rPr>
  </w:style>
  <w:style w:type="character" w:customStyle="1" w:styleId="30">
    <w:name w:val="正文文本缩进 字符"/>
    <w:link w:val="5"/>
    <w:semiHidden/>
    <w:uiPriority w:val="99"/>
    <w:rPr>
      <w:kern w:val="2"/>
      <w:sz w:val="21"/>
      <w:szCs w:val="21"/>
    </w:rPr>
  </w:style>
  <w:style w:type="character" w:customStyle="1" w:styleId="31">
    <w:name w:val="纯文本 字符"/>
    <w:link w:val="8"/>
    <w:uiPriority w:val="0"/>
    <w:rPr>
      <w:rFonts w:ascii="宋体" w:hAnsi="Courier New" w:eastAsia="宋体" w:cs="宋体"/>
      <w:kern w:val="2"/>
      <w:sz w:val="21"/>
      <w:szCs w:val="21"/>
      <w:lang w:val="en-US" w:eastAsia="zh-CN" w:bidi="ar-SA"/>
    </w:rPr>
  </w:style>
  <w:style w:type="character" w:customStyle="1" w:styleId="32">
    <w:name w:val="页脚 字符"/>
    <w:link w:val="12"/>
    <w:uiPriority w:val="99"/>
    <w:rPr>
      <w:kern w:val="2"/>
      <w:sz w:val="18"/>
      <w:szCs w:val="18"/>
    </w:rPr>
  </w:style>
  <w:style w:type="character" w:customStyle="1" w:styleId="33">
    <w:name w:val="页眉 字符"/>
    <w:link w:val="13"/>
    <w:uiPriority w:val="99"/>
    <w:rPr>
      <w:kern w:val="2"/>
      <w:sz w:val="18"/>
      <w:szCs w:val="18"/>
    </w:rPr>
  </w:style>
  <w:style w:type="character" w:customStyle="1" w:styleId="34">
    <w:name w:val="正文文本缩进 3 字符"/>
    <w:link w:val="17"/>
    <w:uiPriority w:val="0"/>
    <w:rPr>
      <w:rFonts w:ascii="宋体" w:hAnsi="宋体"/>
      <w:b/>
      <w:bCs/>
      <w:kern w:val="2"/>
      <w:sz w:val="24"/>
      <w:szCs w:val="24"/>
      <w:lang w:bidi="ar-SA"/>
    </w:rPr>
  </w:style>
  <w:style w:type="character" w:customStyle="1" w:styleId="35">
    <w:name w:val="批注主题 字符"/>
    <w:link w:val="20"/>
    <w:semiHidden/>
    <w:uiPriority w:val="99"/>
    <w:rPr>
      <w:b/>
      <w:bCs/>
      <w:kern w:val="2"/>
      <w:sz w:val="21"/>
      <w:szCs w:val="21"/>
    </w:rPr>
  </w:style>
  <w:style w:type="paragraph" w:customStyle="1" w:styleId="36">
    <w:name w:val="Defaul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xl66"/>
    <w:basedOn w:val="1"/>
    <w:uiPriority w:val="0"/>
    <w:pPr>
      <w:widowControl/>
      <w:pBdr>
        <w:right w:val="single" w:color="auto" w:sz="4" w:space="0"/>
      </w:pBdr>
      <w:spacing w:before="100" w:beforeAutospacing="1" w:after="100" w:afterAutospacing="1"/>
      <w:textAlignment w:val="center"/>
    </w:pPr>
    <w:rPr>
      <w:rFonts w:ascii="宋体" w:hAnsi="宋体" w:cs="宋体"/>
      <w:color w:val="000000"/>
      <w:kern w:val="0"/>
      <w:sz w:val="24"/>
      <w:szCs w:val="24"/>
    </w:rPr>
  </w:style>
  <w:style w:type="paragraph" w:customStyle="1" w:styleId="38">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color w:val="000000"/>
      <w:kern w:val="0"/>
      <w:sz w:val="24"/>
      <w:szCs w:val="24"/>
    </w:rPr>
  </w:style>
  <w:style w:type="paragraph" w:customStyle="1" w:styleId="3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0">
    <w:name w:val="xl67"/>
    <w:basedOn w:val="1"/>
    <w:uiPriority w:val="0"/>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41">
    <w:name w:val="CM28"/>
    <w:basedOn w:val="36"/>
    <w:next w:val="36"/>
    <w:uiPriority w:val="0"/>
    <w:pPr>
      <w:spacing w:line="586" w:lineRule="atLeast"/>
    </w:pPr>
    <w:rPr>
      <w:color w:val="auto"/>
    </w:rPr>
  </w:style>
  <w:style w:type="paragraph" w:customStyle="1" w:styleId="42">
    <w:name w:val="_Style 41"/>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43">
    <w:name w:val="_Style 44"/>
    <w:next w:val="1"/>
    <w:unhideWhenUsed/>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5">
    <w:name w:val="彩色列表 - 着色 11"/>
    <w:basedOn w:val="1"/>
    <w:qFormat/>
    <w:uiPriority w:val="0"/>
    <w:pPr>
      <w:ind w:firstLine="420" w:firstLineChars="200"/>
    </w:pPr>
    <w:rPr>
      <w:rFonts w:ascii="Calibri" w:hAnsi="Calibri"/>
      <w:szCs w:val="22"/>
    </w:rPr>
  </w:style>
  <w:style w:type="paragraph" w:customStyle="1" w:styleId="46">
    <w:name w:val="_Style 45"/>
    <w:qFormat/>
    <w:uiPriority w:val="71"/>
    <w:rPr>
      <w:rFonts w:ascii="Times New Roman" w:hAnsi="Times New Roman" w:eastAsia="宋体" w:cs="Times New Roman"/>
      <w:kern w:val="2"/>
      <w:sz w:val="21"/>
      <w:szCs w:val="21"/>
      <w:lang w:val="en-US" w:eastAsia="zh-CN" w:bidi="ar-SA"/>
    </w:rPr>
  </w:style>
  <w:style w:type="paragraph" w:customStyle="1" w:styleId="47">
    <w:name w:val="网格表 32"/>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4B5"/>
      <w:kern w:val="0"/>
      <w:sz w:val="32"/>
      <w:szCs w:val="32"/>
      <w:lang w:bidi="mn-Mong-CN"/>
    </w:rPr>
  </w:style>
  <w:style w:type="paragraph" w:customStyle="1" w:styleId="48">
    <w:name w:val="CM55"/>
    <w:basedOn w:val="36"/>
    <w:next w:val="36"/>
    <w:uiPriority w:val="0"/>
    <w:pPr>
      <w:spacing w:after="245"/>
    </w:pPr>
    <w:rPr>
      <w:color w:val="auto"/>
    </w:rPr>
  </w:style>
  <w:style w:type="paragraph" w:customStyle="1" w:styleId="49">
    <w:name w:val="网格表 31"/>
    <w:basedOn w:val="2"/>
    <w:next w:val="1"/>
    <w:unhideWhenUsed/>
    <w:qFormat/>
    <w:uiPriority w:val="39"/>
    <w:pPr>
      <w:widowControl/>
      <w:spacing w:before="240" w:after="0" w:line="259" w:lineRule="auto"/>
      <w:jc w:val="left"/>
      <w:outlineLvl w:val="9"/>
    </w:pPr>
    <w:rPr>
      <w:rFonts w:ascii="Calibri Light" w:hAnsi="Calibri Light" w:cs="Mongolian Baiti"/>
      <w:b w:val="0"/>
      <w:bCs w:val="0"/>
      <w:color w:val="2E74B5"/>
      <w:kern w:val="0"/>
      <w:sz w:val="32"/>
      <w:szCs w:val="32"/>
      <w:lang w:bidi="mn-Mong-CN"/>
    </w:rPr>
  </w:style>
  <w:style w:type="paragraph" w:customStyle="1" w:styleId="50">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4"/>
      <w:szCs w:val="24"/>
    </w:rPr>
  </w:style>
  <w:style w:type="paragraph" w:customStyle="1" w:styleId="51">
    <w:name w:val="CM20"/>
    <w:basedOn w:val="36"/>
    <w:next w:val="36"/>
    <w:uiPriority w:val="0"/>
    <w:pPr>
      <w:spacing w:line="468" w:lineRule="atLeast"/>
    </w:pPr>
    <w:rPr>
      <w:color w:val="auto"/>
    </w:rPr>
  </w:style>
  <w:style w:type="paragraph" w:customStyle="1" w:styleId="52">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3">
    <w:name w:val="无间隔1"/>
    <w:qFormat/>
    <w:uiPriority w:val="0"/>
    <w:rPr>
      <w:rFonts w:ascii="Calibri" w:hAnsi="Calibri" w:eastAsia="宋体" w:cs="Times New Roman"/>
      <w:sz w:val="22"/>
      <w:szCs w:val="22"/>
      <w:lang w:val="en-US" w:eastAsia="zh-CN" w:bidi="ar-SA"/>
    </w:rPr>
  </w:style>
  <w:style w:type="paragraph" w:customStyle="1" w:styleId="54">
    <w:name w:val="p0"/>
    <w:basedOn w:val="1"/>
    <w:uiPriority w:val="0"/>
    <w:pPr>
      <w:widowControl/>
    </w:pPr>
    <w:rPr>
      <w:kern w:val="0"/>
    </w:rPr>
  </w:style>
  <w:style w:type="paragraph" w:customStyle="1" w:styleId="55">
    <w:name w:val="彩色列表 - 着色 12"/>
    <w:basedOn w:val="1"/>
    <w:qFormat/>
    <w:uiPriority w:val="0"/>
    <w:pPr>
      <w:ind w:firstLine="420" w:firstLineChars="200"/>
    </w:pPr>
    <w:rPr>
      <w:rFonts w:ascii="Calibri" w:hAnsi="Calibri"/>
      <w:szCs w:val="22"/>
    </w:rPr>
  </w:style>
  <w:style w:type="paragraph" w:customStyle="1" w:styleId="5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58">
    <w:name w:val="彩色底纹 - 着色 11"/>
    <w:semiHidden/>
    <w:qFormat/>
    <w:uiPriority w:val="99"/>
    <w:rPr>
      <w:rFonts w:ascii="Times New Roman" w:hAnsi="Times New Roman" w:eastAsia="宋体" w:cs="Times New Roman"/>
      <w:kern w:val="2"/>
      <w:sz w:val="21"/>
      <w:szCs w:val="21"/>
      <w:lang w:val="en-US" w:eastAsia="zh-CN" w:bidi="ar-SA"/>
    </w:rPr>
  </w:style>
  <w:style w:type="paragraph" w:customStyle="1" w:styleId="59">
    <w:name w:val="xl74"/>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60">
    <w:name w:val="CM23"/>
    <w:basedOn w:val="36"/>
    <w:next w:val="36"/>
    <w:uiPriority w:val="0"/>
    <w:pPr>
      <w:spacing w:line="468" w:lineRule="atLeast"/>
    </w:pPr>
    <w:rPr>
      <w:color w:val="auto"/>
    </w:rPr>
  </w:style>
  <w:style w:type="paragraph" w:customStyle="1" w:styleId="61">
    <w:name w:val="彩色底纹 - 着色 12"/>
    <w:semiHidden/>
    <w:qFormat/>
    <w:uiPriority w:val="99"/>
    <w:rPr>
      <w:rFonts w:ascii="Times New Roman" w:hAnsi="Times New Roman" w:eastAsia="宋体" w:cs="Times New Roman"/>
      <w:kern w:val="2"/>
      <w:sz w:val="21"/>
      <w:szCs w:val="21"/>
      <w:lang w:val="en-US" w:eastAsia="zh-CN" w:bidi="ar-SA"/>
    </w:rPr>
  </w:style>
  <w:style w:type="paragraph" w:customStyle="1" w:styleId="62">
    <w:name w:val="xl65"/>
    <w:basedOn w:val="1"/>
    <w:uiPriority w:val="0"/>
    <w:pPr>
      <w:widowControl/>
      <w:spacing w:before="100" w:beforeAutospacing="1" w:after="100" w:afterAutospacing="1"/>
      <w:textAlignment w:val="center"/>
    </w:pPr>
    <w:rPr>
      <w:rFonts w:ascii="宋体" w:hAnsi="宋体" w:cs="宋体"/>
      <w:color w:val="000000"/>
      <w:kern w:val="0"/>
      <w:sz w:val="24"/>
      <w:szCs w:val="24"/>
    </w:rPr>
  </w:style>
  <w:style w:type="paragraph" w:customStyle="1" w:styleId="6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4">
    <w:name w:val="CM46"/>
    <w:basedOn w:val="36"/>
    <w:next w:val="36"/>
    <w:qFormat/>
    <w:uiPriority w:val="0"/>
    <w:pPr>
      <w:spacing w:after="128"/>
    </w:pPr>
    <w:rPr>
      <w:color w:val="auto"/>
    </w:rPr>
  </w:style>
  <w:style w:type="paragraph" w:customStyle="1" w:styleId="6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6">
    <w:name w:val="xl70"/>
    <w:basedOn w:val="1"/>
    <w:uiPriority w:val="0"/>
    <w:pPr>
      <w:widowControl/>
      <w:spacing w:before="100" w:beforeAutospacing="1" w:after="100" w:afterAutospacing="1"/>
      <w:jc w:val="left"/>
      <w:textAlignment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7953</Words>
  <Characters>8143</Characters>
  <Lines>71</Lines>
  <Paragraphs>20</Paragraphs>
  <TotalTime>0</TotalTime>
  <ScaleCrop>false</ScaleCrop>
  <LinksUpToDate>false</LinksUpToDate>
  <CharactersWithSpaces>8592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2018-12-25T06:43:00Z</dcterms:created>
  <dc:creator>法律事务部</dc:creator>
  <cp:lastModifiedBy>郝亚昊</cp:lastModifiedBy>
  <cp:lastPrinted>2018-12-25T03:16:00Z</cp:lastPrinted>
  <dcterms:modified xsi:type="dcterms:W3CDTF">2024-01-10T10:05:14Z</dcterms:modified>
  <dc:title>《债权转让协议》</dc:title>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C0EA5C8023684F6784B8224EF684EB05</vt:lpwstr>
  </property>
</Properties>
</file>